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0F09D" w14:textId="29266E56" w:rsidR="00B617DF" w:rsidRPr="008C568A" w:rsidRDefault="00B617DF" w:rsidP="008C568A">
      <w:pPr>
        <w:pStyle w:val="NormalWeb"/>
        <w:spacing w:before="0" w:beforeAutospacing="0" w:after="160" w:afterAutospacing="0"/>
        <w:jc w:val="center"/>
        <w:rPr>
          <w:rFonts w:asciiTheme="minorHAnsi" w:hAnsiTheme="minorHAnsi" w:cstheme="minorHAnsi"/>
          <w:sz w:val="32"/>
          <w:szCs w:val="22"/>
        </w:rPr>
      </w:pPr>
      <w:r w:rsidRPr="00C75D5C">
        <w:rPr>
          <w:rFonts w:asciiTheme="minorHAnsi" w:hAnsiTheme="minorHAnsi" w:cstheme="minorHAnsi"/>
          <w:sz w:val="32"/>
          <w:szCs w:val="22"/>
        </w:rPr>
        <w:t xml:space="preserve">Incremental Long-Term Congestion Rights </w:t>
      </w:r>
      <w:r w:rsidR="000B038F" w:rsidRPr="00C75D5C">
        <w:rPr>
          <w:rFonts w:asciiTheme="minorHAnsi" w:hAnsiTheme="minorHAnsi" w:cstheme="minorHAnsi"/>
          <w:sz w:val="32"/>
          <w:szCs w:val="22"/>
        </w:rPr>
        <w:t>(</w:t>
      </w:r>
      <w:r w:rsidRPr="00C75D5C">
        <w:rPr>
          <w:rFonts w:asciiTheme="minorHAnsi" w:hAnsiTheme="minorHAnsi" w:cstheme="minorHAnsi"/>
          <w:sz w:val="32"/>
          <w:szCs w:val="22"/>
        </w:rPr>
        <w:t>ILTCR</w:t>
      </w:r>
      <w:r w:rsidR="000B038F" w:rsidRPr="00C75D5C">
        <w:rPr>
          <w:rFonts w:asciiTheme="minorHAnsi" w:hAnsiTheme="minorHAnsi" w:cstheme="minorHAnsi"/>
          <w:sz w:val="32"/>
          <w:szCs w:val="22"/>
        </w:rPr>
        <w:t>)</w:t>
      </w:r>
      <w:r w:rsidRPr="00C75D5C">
        <w:rPr>
          <w:rFonts w:asciiTheme="minorHAnsi" w:hAnsiTheme="minorHAnsi" w:cstheme="minorHAnsi"/>
          <w:sz w:val="32"/>
          <w:szCs w:val="22"/>
        </w:rPr>
        <w:t xml:space="preserve"> Guidelines and FAQ</w:t>
      </w:r>
    </w:p>
    <w:p w14:paraId="57EB9AFD" w14:textId="77777777" w:rsidR="005D4F46" w:rsidRPr="008C568A" w:rsidRDefault="005D4F46" w:rsidP="008C568A">
      <w:pPr>
        <w:pStyle w:val="NormalWeb"/>
        <w:spacing w:before="0" w:beforeAutospacing="0" w:after="0" w:afterAutospacing="0"/>
        <w:jc w:val="center"/>
        <w:rPr>
          <w:rFonts w:asciiTheme="minorHAnsi" w:hAnsiTheme="minorHAnsi" w:cstheme="minorHAnsi"/>
          <w:b/>
          <w:i/>
          <w:szCs w:val="22"/>
          <w:u w:val="single"/>
        </w:rPr>
      </w:pPr>
      <w:r w:rsidRPr="008C568A">
        <w:rPr>
          <w:rFonts w:asciiTheme="minorHAnsi" w:hAnsiTheme="minorHAnsi" w:cstheme="minorHAnsi"/>
          <w:b/>
          <w:i/>
          <w:szCs w:val="22"/>
          <w:u w:val="single"/>
        </w:rPr>
        <w:t>ILTCR Guidelines</w:t>
      </w:r>
    </w:p>
    <w:p w14:paraId="04A5C197" w14:textId="77777777" w:rsidR="005D4F46" w:rsidRPr="00C75D5C" w:rsidRDefault="005D4F46" w:rsidP="000D0FB8">
      <w:pPr>
        <w:pStyle w:val="NormalWeb"/>
        <w:spacing w:before="0" w:beforeAutospacing="0" w:after="0" w:afterAutospacing="0"/>
        <w:jc w:val="both"/>
        <w:rPr>
          <w:rFonts w:asciiTheme="minorHAnsi" w:hAnsiTheme="minorHAnsi" w:cstheme="minorHAnsi"/>
          <w:sz w:val="22"/>
          <w:szCs w:val="22"/>
        </w:rPr>
      </w:pPr>
    </w:p>
    <w:p w14:paraId="660083FD" w14:textId="6C5C08AF" w:rsidR="005D4F46" w:rsidRPr="00C75D5C" w:rsidRDefault="005D4F46" w:rsidP="00C75D5C">
      <w:pPr>
        <w:pStyle w:val="NormalWeb"/>
        <w:numPr>
          <w:ilvl w:val="0"/>
          <w:numId w:val="1"/>
        </w:numPr>
        <w:spacing w:before="0" w:beforeAutospacing="0" w:after="120" w:afterAutospacing="0"/>
        <w:jc w:val="both"/>
        <w:rPr>
          <w:rFonts w:asciiTheme="minorHAnsi" w:hAnsiTheme="minorHAnsi" w:cstheme="minorHAnsi"/>
          <w:sz w:val="22"/>
          <w:szCs w:val="22"/>
        </w:rPr>
      </w:pPr>
      <w:r w:rsidRPr="00C75D5C">
        <w:rPr>
          <w:rFonts w:asciiTheme="minorHAnsi" w:hAnsiTheme="minorHAnsi" w:cstheme="minorHAnsi"/>
          <w:sz w:val="22"/>
          <w:szCs w:val="22"/>
        </w:rPr>
        <w:t>Per FERC Order ER20-1687-000</w:t>
      </w:r>
      <w:r w:rsidR="00317232" w:rsidRPr="00C75D5C">
        <w:rPr>
          <w:rFonts w:asciiTheme="minorHAnsi" w:hAnsiTheme="minorHAnsi" w:cstheme="minorHAnsi"/>
          <w:sz w:val="22"/>
          <w:szCs w:val="22"/>
        </w:rPr>
        <w:t>,</w:t>
      </w:r>
      <w:r w:rsidRPr="00C75D5C">
        <w:rPr>
          <w:rFonts w:asciiTheme="minorHAnsi" w:hAnsiTheme="minorHAnsi" w:cstheme="minorHAnsi"/>
          <w:sz w:val="22"/>
          <w:szCs w:val="22"/>
        </w:rPr>
        <w:t xml:space="preserve"> which eliminated Z2 revenue credits</w:t>
      </w:r>
      <w:r w:rsidR="00A20728" w:rsidRPr="00C75D5C">
        <w:rPr>
          <w:rFonts w:asciiTheme="minorHAnsi" w:hAnsiTheme="minorHAnsi" w:cstheme="minorHAnsi"/>
          <w:sz w:val="22"/>
          <w:szCs w:val="22"/>
        </w:rPr>
        <w:t xml:space="preserve"> as compensation for Directly Assigned Upgrade Cost </w:t>
      </w:r>
      <w:r w:rsidR="008F235D" w:rsidRPr="00C75D5C">
        <w:rPr>
          <w:rFonts w:asciiTheme="minorHAnsi" w:hAnsiTheme="minorHAnsi" w:cstheme="minorHAnsi"/>
          <w:sz w:val="22"/>
          <w:szCs w:val="22"/>
        </w:rPr>
        <w:t xml:space="preserve">(DAUC) </w:t>
      </w:r>
      <w:r w:rsidR="00A20728" w:rsidRPr="00C75D5C">
        <w:rPr>
          <w:rFonts w:asciiTheme="minorHAnsi" w:hAnsiTheme="minorHAnsi" w:cstheme="minorHAnsi"/>
          <w:sz w:val="22"/>
          <w:szCs w:val="22"/>
        </w:rPr>
        <w:t xml:space="preserve">for upgrades with </w:t>
      </w:r>
      <w:r w:rsidR="00317232" w:rsidRPr="00C75D5C">
        <w:rPr>
          <w:rFonts w:asciiTheme="minorHAnsi" w:hAnsiTheme="minorHAnsi" w:cstheme="minorHAnsi"/>
          <w:sz w:val="22"/>
          <w:szCs w:val="22"/>
        </w:rPr>
        <w:t xml:space="preserve">an </w:t>
      </w:r>
      <w:r w:rsidR="00A20728" w:rsidRPr="00C75D5C">
        <w:rPr>
          <w:rFonts w:asciiTheme="minorHAnsi" w:hAnsiTheme="minorHAnsi" w:cstheme="minorHAnsi"/>
          <w:sz w:val="22"/>
          <w:szCs w:val="22"/>
        </w:rPr>
        <w:t>authorizing agreement executed after</w:t>
      </w:r>
      <w:r w:rsidRPr="00C75D5C">
        <w:rPr>
          <w:rFonts w:asciiTheme="minorHAnsi" w:hAnsiTheme="minorHAnsi" w:cstheme="minorHAnsi"/>
          <w:sz w:val="22"/>
          <w:szCs w:val="22"/>
        </w:rPr>
        <w:t xml:space="preserve"> July 1</w:t>
      </w:r>
      <w:r w:rsidRPr="00C75D5C">
        <w:rPr>
          <w:rFonts w:asciiTheme="minorHAnsi" w:hAnsiTheme="minorHAnsi" w:cstheme="minorHAnsi"/>
          <w:sz w:val="22"/>
          <w:szCs w:val="22"/>
          <w:vertAlign w:val="superscript"/>
        </w:rPr>
        <w:t>st</w:t>
      </w:r>
      <w:r w:rsidR="00481657" w:rsidRPr="00C75D5C">
        <w:rPr>
          <w:rFonts w:asciiTheme="minorHAnsi" w:hAnsiTheme="minorHAnsi" w:cstheme="minorHAnsi"/>
          <w:sz w:val="22"/>
          <w:szCs w:val="22"/>
        </w:rPr>
        <w:t>, 2020, ILTCR is</w:t>
      </w:r>
      <w:r w:rsidRPr="00C75D5C">
        <w:rPr>
          <w:rFonts w:asciiTheme="minorHAnsi" w:hAnsiTheme="minorHAnsi" w:cstheme="minorHAnsi"/>
          <w:sz w:val="22"/>
          <w:szCs w:val="22"/>
        </w:rPr>
        <w:t xml:space="preserve"> the default cost recovery mechanis</w:t>
      </w:r>
      <w:r w:rsidR="00530765" w:rsidRPr="00C75D5C">
        <w:rPr>
          <w:rFonts w:asciiTheme="minorHAnsi" w:hAnsiTheme="minorHAnsi" w:cstheme="minorHAnsi"/>
          <w:sz w:val="22"/>
          <w:szCs w:val="22"/>
        </w:rPr>
        <w:t xml:space="preserve">m for eligible Network Upgrades </w:t>
      </w:r>
      <w:r w:rsidR="0010703E" w:rsidRPr="00C75D5C">
        <w:rPr>
          <w:rFonts w:asciiTheme="minorHAnsi" w:hAnsiTheme="minorHAnsi" w:cstheme="minorHAnsi"/>
          <w:sz w:val="22"/>
          <w:szCs w:val="22"/>
        </w:rPr>
        <w:t xml:space="preserve">with DAUC </w:t>
      </w:r>
      <w:r w:rsidR="00530765" w:rsidRPr="00C75D5C">
        <w:rPr>
          <w:rFonts w:asciiTheme="minorHAnsi" w:hAnsiTheme="minorHAnsi" w:cstheme="minorHAnsi"/>
          <w:sz w:val="22"/>
          <w:szCs w:val="22"/>
        </w:rPr>
        <w:t>as a result of a Generation Interconnection Study</w:t>
      </w:r>
      <w:r w:rsidR="0026748F" w:rsidRPr="00C75D5C">
        <w:rPr>
          <w:rFonts w:asciiTheme="minorHAnsi" w:hAnsiTheme="minorHAnsi" w:cstheme="minorHAnsi"/>
          <w:sz w:val="22"/>
          <w:szCs w:val="22"/>
        </w:rPr>
        <w:t xml:space="preserve"> (GIS)</w:t>
      </w:r>
      <w:r w:rsidR="00530765" w:rsidRPr="00C75D5C">
        <w:rPr>
          <w:rFonts w:asciiTheme="minorHAnsi" w:hAnsiTheme="minorHAnsi" w:cstheme="minorHAnsi"/>
          <w:sz w:val="22"/>
          <w:szCs w:val="22"/>
        </w:rPr>
        <w:t>, Aggregate Transmission Service Study</w:t>
      </w:r>
      <w:r w:rsidR="0026748F" w:rsidRPr="00C75D5C">
        <w:rPr>
          <w:rFonts w:asciiTheme="minorHAnsi" w:hAnsiTheme="minorHAnsi" w:cstheme="minorHAnsi"/>
          <w:sz w:val="22"/>
          <w:szCs w:val="22"/>
        </w:rPr>
        <w:t xml:space="preserve"> (ATSS)</w:t>
      </w:r>
      <w:r w:rsidR="00530765" w:rsidRPr="00C75D5C">
        <w:rPr>
          <w:rFonts w:asciiTheme="minorHAnsi" w:hAnsiTheme="minorHAnsi" w:cstheme="minorHAnsi"/>
          <w:sz w:val="22"/>
          <w:szCs w:val="22"/>
        </w:rPr>
        <w:t>, or a Sponsored Upgrade Study.</w:t>
      </w:r>
    </w:p>
    <w:p w14:paraId="32A5D84C" w14:textId="22E96D98" w:rsidR="00393764" w:rsidRPr="00C75D5C" w:rsidRDefault="00C767BD" w:rsidP="00C75D5C">
      <w:pPr>
        <w:pStyle w:val="NormalWeb"/>
        <w:numPr>
          <w:ilvl w:val="0"/>
          <w:numId w:val="1"/>
        </w:numPr>
        <w:spacing w:before="0" w:beforeAutospacing="0" w:after="120" w:afterAutospacing="0"/>
        <w:jc w:val="both"/>
        <w:rPr>
          <w:rFonts w:asciiTheme="minorHAnsi" w:hAnsiTheme="minorHAnsi" w:cstheme="minorHAnsi"/>
          <w:sz w:val="22"/>
          <w:szCs w:val="22"/>
        </w:rPr>
      </w:pPr>
      <w:r w:rsidRPr="00C75D5C">
        <w:rPr>
          <w:rFonts w:asciiTheme="minorHAnsi" w:hAnsiTheme="minorHAnsi" w:cstheme="minorHAnsi"/>
          <w:sz w:val="22"/>
          <w:szCs w:val="22"/>
        </w:rPr>
        <w:t>Customers shall specify 3 paths for ILTCR analysis p</w:t>
      </w:r>
      <w:r w:rsidR="00665F7E" w:rsidRPr="00C75D5C">
        <w:rPr>
          <w:rFonts w:asciiTheme="minorHAnsi" w:hAnsiTheme="minorHAnsi" w:cstheme="minorHAnsi"/>
          <w:sz w:val="22"/>
          <w:szCs w:val="22"/>
        </w:rPr>
        <w:t>rior to execution of applicable</w:t>
      </w:r>
      <w:r w:rsidRPr="00C75D5C">
        <w:rPr>
          <w:rFonts w:asciiTheme="minorHAnsi" w:hAnsiTheme="minorHAnsi" w:cstheme="minorHAnsi"/>
          <w:sz w:val="22"/>
          <w:szCs w:val="22"/>
        </w:rPr>
        <w:t xml:space="preserve"> service agreements</w:t>
      </w:r>
      <w:r w:rsidR="00965939" w:rsidRPr="00C75D5C">
        <w:rPr>
          <w:rStyle w:val="FootnoteReference"/>
          <w:rFonts w:asciiTheme="minorHAnsi" w:hAnsiTheme="minorHAnsi" w:cstheme="minorHAnsi"/>
          <w:sz w:val="22"/>
          <w:szCs w:val="22"/>
        </w:rPr>
        <w:footnoteReference w:id="1"/>
      </w:r>
      <w:r w:rsidRPr="00C75D5C">
        <w:rPr>
          <w:rFonts w:asciiTheme="minorHAnsi" w:hAnsiTheme="minorHAnsi" w:cstheme="minorHAnsi"/>
          <w:sz w:val="22"/>
          <w:szCs w:val="22"/>
        </w:rPr>
        <w:t xml:space="preserve">. </w:t>
      </w:r>
    </w:p>
    <w:p w14:paraId="04D54E6B" w14:textId="7CFF1DEE" w:rsidR="007B31E9" w:rsidRPr="00C75D5C" w:rsidRDefault="007B31E9" w:rsidP="00C75D5C">
      <w:pPr>
        <w:pStyle w:val="NormalWeb"/>
        <w:numPr>
          <w:ilvl w:val="1"/>
          <w:numId w:val="1"/>
        </w:numPr>
        <w:spacing w:before="0" w:beforeAutospacing="0" w:after="120" w:afterAutospacing="0"/>
        <w:jc w:val="both"/>
        <w:rPr>
          <w:rFonts w:asciiTheme="minorHAnsi" w:hAnsiTheme="minorHAnsi" w:cstheme="minorHAnsi"/>
          <w:sz w:val="22"/>
          <w:szCs w:val="22"/>
        </w:rPr>
      </w:pPr>
      <w:r w:rsidRPr="00C75D5C">
        <w:rPr>
          <w:rFonts w:asciiTheme="minorHAnsi" w:hAnsiTheme="minorHAnsi" w:cstheme="minorHAnsi"/>
          <w:sz w:val="22"/>
          <w:szCs w:val="22"/>
        </w:rPr>
        <w:t>GI Requests: Customers may select paths for ILTCR studies using their new generator that was studied as a source.</w:t>
      </w:r>
      <w:r w:rsidR="00BF77A1" w:rsidRPr="00C75D5C">
        <w:rPr>
          <w:rFonts w:asciiTheme="minorHAnsi" w:hAnsiTheme="minorHAnsi" w:cstheme="minorHAnsi"/>
          <w:sz w:val="22"/>
          <w:szCs w:val="22"/>
        </w:rPr>
        <w:t xml:space="preserve"> T</w:t>
      </w:r>
      <w:r w:rsidRPr="00C75D5C">
        <w:rPr>
          <w:rFonts w:asciiTheme="minorHAnsi" w:hAnsiTheme="minorHAnsi" w:cstheme="minorHAnsi"/>
          <w:sz w:val="22"/>
          <w:szCs w:val="22"/>
        </w:rPr>
        <w:t xml:space="preserve">he generator must be registered in the Marketplace before </w:t>
      </w:r>
      <w:r w:rsidR="00A21DB3" w:rsidRPr="00C75D5C">
        <w:rPr>
          <w:rFonts w:asciiTheme="minorHAnsi" w:hAnsiTheme="minorHAnsi" w:cstheme="minorHAnsi"/>
          <w:sz w:val="22"/>
          <w:szCs w:val="22"/>
        </w:rPr>
        <w:t>it is</w:t>
      </w:r>
      <w:r w:rsidR="00BF77A1" w:rsidRPr="00C75D5C">
        <w:rPr>
          <w:rFonts w:asciiTheme="minorHAnsi" w:hAnsiTheme="minorHAnsi" w:cstheme="minorHAnsi"/>
          <w:sz w:val="22"/>
          <w:szCs w:val="22"/>
        </w:rPr>
        <w:t xml:space="preserve"> able to participate in the Congestion Hedging process</w:t>
      </w:r>
      <w:r w:rsidRPr="00C75D5C">
        <w:rPr>
          <w:rFonts w:asciiTheme="minorHAnsi" w:hAnsiTheme="minorHAnsi" w:cstheme="minorHAnsi"/>
          <w:sz w:val="22"/>
          <w:szCs w:val="22"/>
        </w:rPr>
        <w:t xml:space="preserve">. </w:t>
      </w:r>
      <w:r w:rsidR="005A4DDD" w:rsidRPr="00C75D5C">
        <w:rPr>
          <w:rFonts w:asciiTheme="minorHAnsi" w:hAnsiTheme="minorHAnsi" w:cstheme="minorHAnsi"/>
          <w:sz w:val="22"/>
          <w:szCs w:val="22"/>
        </w:rPr>
        <w:t>For timing information related to registration, please refer to Appendix E of the Integrated Marketplace Protocol (IMP)</w:t>
      </w:r>
      <w:r w:rsidR="005A4DDD" w:rsidRPr="00C75D5C">
        <w:rPr>
          <w:rStyle w:val="FootnoteReference"/>
          <w:rFonts w:asciiTheme="minorHAnsi" w:hAnsiTheme="minorHAnsi" w:cstheme="minorHAnsi"/>
          <w:sz w:val="22"/>
          <w:szCs w:val="22"/>
        </w:rPr>
        <w:footnoteReference w:id="2"/>
      </w:r>
      <w:r w:rsidR="005A4DDD" w:rsidRPr="00C75D5C">
        <w:rPr>
          <w:rFonts w:asciiTheme="minorHAnsi" w:hAnsiTheme="minorHAnsi" w:cstheme="minorHAnsi"/>
          <w:sz w:val="22"/>
          <w:szCs w:val="22"/>
        </w:rPr>
        <w:t>.</w:t>
      </w:r>
    </w:p>
    <w:p w14:paraId="39C14863" w14:textId="77777777" w:rsidR="00527504" w:rsidRPr="00C75D5C" w:rsidRDefault="00CB7E06" w:rsidP="00C75D5C">
      <w:pPr>
        <w:pStyle w:val="NormalWeb"/>
        <w:numPr>
          <w:ilvl w:val="0"/>
          <w:numId w:val="1"/>
        </w:numPr>
        <w:spacing w:before="0" w:beforeAutospacing="0" w:after="120" w:afterAutospacing="0"/>
        <w:jc w:val="both"/>
        <w:rPr>
          <w:rFonts w:asciiTheme="minorHAnsi" w:hAnsiTheme="minorHAnsi" w:cstheme="minorHAnsi"/>
          <w:sz w:val="22"/>
          <w:szCs w:val="22"/>
        </w:rPr>
      </w:pPr>
      <w:r w:rsidRPr="00C75D5C">
        <w:rPr>
          <w:rFonts w:asciiTheme="minorHAnsi" w:hAnsiTheme="minorHAnsi" w:cstheme="minorHAnsi"/>
          <w:sz w:val="22"/>
          <w:szCs w:val="22"/>
        </w:rPr>
        <w:t>ILTCR analysis</w:t>
      </w:r>
      <w:r w:rsidR="00527504" w:rsidRPr="00C75D5C">
        <w:rPr>
          <w:rFonts w:asciiTheme="minorHAnsi" w:hAnsiTheme="minorHAnsi" w:cstheme="minorHAnsi"/>
          <w:sz w:val="22"/>
          <w:szCs w:val="22"/>
        </w:rPr>
        <w:t xml:space="preserve"> take</w:t>
      </w:r>
      <w:r w:rsidRPr="00C75D5C">
        <w:rPr>
          <w:rFonts w:asciiTheme="minorHAnsi" w:hAnsiTheme="minorHAnsi" w:cstheme="minorHAnsi"/>
          <w:sz w:val="22"/>
          <w:szCs w:val="22"/>
        </w:rPr>
        <w:t>s</w:t>
      </w:r>
      <w:r w:rsidR="00527504" w:rsidRPr="00C75D5C">
        <w:rPr>
          <w:rFonts w:asciiTheme="minorHAnsi" w:hAnsiTheme="minorHAnsi" w:cstheme="minorHAnsi"/>
          <w:sz w:val="22"/>
          <w:szCs w:val="22"/>
        </w:rPr>
        <w:t xml:space="preserve"> place </w:t>
      </w:r>
      <w:r w:rsidRPr="00C75D5C">
        <w:rPr>
          <w:rFonts w:asciiTheme="minorHAnsi" w:hAnsiTheme="minorHAnsi" w:cstheme="minorHAnsi"/>
          <w:i/>
          <w:sz w:val="22"/>
          <w:szCs w:val="22"/>
        </w:rPr>
        <w:t>after</w:t>
      </w:r>
      <w:r w:rsidR="00527504" w:rsidRPr="00C75D5C">
        <w:rPr>
          <w:rFonts w:asciiTheme="minorHAnsi" w:hAnsiTheme="minorHAnsi" w:cstheme="minorHAnsi"/>
          <w:sz w:val="22"/>
          <w:szCs w:val="22"/>
        </w:rPr>
        <w:t xml:space="preserve"> Directly Assigned Upgrade Cost (DAUC) is assigned</w:t>
      </w:r>
      <w:r w:rsidRPr="00C75D5C">
        <w:rPr>
          <w:rFonts w:asciiTheme="minorHAnsi" w:hAnsiTheme="minorHAnsi" w:cstheme="minorHAnsi"/>
          <w:sz w:val="22"/>
          <w:szCs w:val="22"/>
        </w:rPr>
        <w:t xml:space="preserve"> per corresponding studies</w:t>
      </w:r>
      <w:r w:rsidR="00527504" w:rsidRPr="00C75D5C">
        <w:rPr>
          <w:rFonts w:asciiTheme="minorHAnsi" w:hAnsiTheme="minorHAnsi" w:cstheme="minorHAnsi"/>
          <w:sz w:val="22"/>
          <w:szCs w:val="22"/>
        </w:rPr>
        <w:t>.</w:t>
      </w:r>
    </w:p>
    <w:p w14:paraId="4702DCC0" w14:textId="4C404541" w:rsidR="00527504" w:rsidRPr="00C75D5C" w:rsidRDefault="00527504" w:rsidP="00C75D5C">
      <w:pPr>
        <w:pStyle w:val="NormalWeb"/>
        <w:numPr>
          <w:ilvl w:val="0"/>
          <w:numId w:val="1"/>
        </w:numPr>
        <w:spacing w:before="0" w:beforeAutospacing="0" w:after="120" w:afterAutospacing="0"/>
        <w:jc w:val="both"/>
        <w:rPr>
          <w:rFonts w:asciiTheme="minorHAnsi" w:hAnsiTheme="minorHAnsi" w:cstheme="minorHAnsi"/>
          <w:sz w:val="22"/>
          <w:szCs w:val="22"/>
        </w:rPr>
      </w:pPr>
      <w:r w:rsidRPr="00C75D5C">
        <w:rPr>
          <w:rFonts w:asciiTheme="minorHAnsi" w:hAnsiTheme="minorHAnsi" w:cstheme="minorHAnsi"/>
          <w:sz w:val="22"/>
          <w:szCs w:val="22"/>
        </w:rPr>
        <w:t xml:space="preserve">Candidate ILTCR </w:t>
      </w:r>
      <w:r w:rsidR="00031F80" w:rsidRPr="00C75D5C">
        <w:rPr>
          <w:rFonts w:asciiTheme="minorHAnsi" w:hAnsiTheme="minorHAnsi" w:cstheme="minorHAnsi"/>
          <w:sz w:val="22"/>
          <w:szCs w:val="22"/>
        </w:rPr>
        <w:t>(</w:t>
      </w:r>
      <w:proofErr w:type="spellStart"/>
      <w:r w:rsidR="00031F80" w:rsidRPr="00C75D5C">
        <w:rPr>
          <w:rFonts w:asciiTheme="minorHAnsi" w:hAnsiTheme="minorHAnsi" w:cstheme="minorHAnsi"/>
          <w:sz w:val="22"/>
          <w:szCs w:val="22"/>
        </w:rPr>
        <w:t>cILTCR</w:t>
      </w:r>
      <w:proofErr w:type="spellEnd"/>
      <w:r w:rsidR="00031F80" w:rsidRPr="00C75D5C">
        <w:rPr>
          <w:rFonts w:asciiTheme="minorHAnsi" w:hAnsiTheme="minorHAnsi" w:cstheme="minorHAnsi"/>
          <w:sz w:val="22"/>
          <w:szCs w:val="22"/>
        </w:rPr>
        <w:t xml:space="preserve">) </w:t>
      </w:r>
      <w:r w:rsidRPr="00C75D5C">
        <w:rPr>
          <w:rFonts w:asciiTheme="minorHAnsi" w:hAnsiTheme="minorHAnsi" w:cstheme="minorHAnsi"/>
          <w:sz w:val="22"/>
          <w:szCs w:val="22"/>
        </w:rPr>
        <w:t xml:space="preserve">are determined per each path specified by the customer from Available Transfer Capability (ATC) of the system, and one path will be chosen to receive </w:t>
      </w:r>
      <w:r w:rsidR="00CC6DB7" w:rsidRPr="00C75D5C">
        <w:rPr>
          <w:rFonts w:asciiTheme="minorHAnsi" w:hAnsiTheme="minorHAnsi" w:cstheme="minorHAnsi"/>
          <w:sz w:val="22"/>
          <w:szCs w:val="22"/>
        </w:rPr>
        <w:t>them</w:t>
      </w:r>
      <w:r w:rsidRPr="00C75D5C">
        <w:rPr>
          <w:rFonts w:asciiTheme="minorHAnsi" w:hAnsiTheme="minorHAnsi" w:cstheme="minorHAnsi"/>
          <w:sz w:val="22"/>
          <w:szCs w:val="22"/>
        </w:rPr>
        <w:t xml:space="preserve">. </w:t>
      </w:r>
    </w:p>
    <w:p w14:paraId="53DB82F9" w14:textId="77777777" w:rsidR="005D4F46" w:rsidRPr="00C75D5C" w:rsidRDefault="00481657" w:rsidP="00C75D5C">
      <w:pPr>
        <w:pStyle w:val="NormalWeb"/>
        <w:numPr>
          <w:ilvl w:val="0"/>
          <w:numId w:val="1"/>
        </w:numPr>
        <w:spacing w:before="0" w:beforeAutospacing="0" w:after="120" w:afterAutospacing="0"/>
        <w:jc w:val="both"/>
        <w:rPr>
          <w:rFonts w:asciiTheme="minorHAnsi" w:hAnsiTheme="minorHAnsi" w:cstheme="minorHAnsi"/>
          <w:sz w:val="22"/>
          <w:szCs w:val="22"/>
        </w:rPr>
      </w:pPr>
      <w:r w:rsidRPr="00C75D5C">
        <w:rPr>
          <w:rFonts w:asciiTheme="minorHAnsi" w:hAnsiTheme="minorHAnsi" w:cstheme="minorHAnsi"/>
          <w:sz w:val="22"/>
          <w:szCs w:val="22"/>
        </w:rPr>
        <w:t>Customers are responsible for notifying SPP 45 days before the upgrade energization date to begin the Congestion Hedging process</w:t>
      </w:r>
      <w:r w:rsidR="00702D7F" w:rsidRPr="00C75D5C">
        <w:rPr>
          <w:rFonts w:asciiTheme="minorHAnsi" w:hAnsiTheme="minorHAnsi" w:cstheme="minorHAnsi"/>
          <w:sz w:val="22"/>
          <w:szCs w:val="22"/>
        </w:rPr>
        <w:t xml:space="preserve"> (Attachment AE, Section 7).</w:t>
      </w:r>
    </w:p>
    <w:p w14:paraId="1A54DF84" w14:textId="3AEA3E6F" w:rsidR="008C4FB0" w:rsidRPr="00C75D5C" w:rsidRDefault="001504B0" w:rsidP="00C75D5C">
      <w:pPr>
        <w:pStyle w:val="NormalWeb"/>
        <w:numPr>
          <w:ilvl w:val="0"/>
          <w:numId w:val="1"/>
        </w:numPr>
        <w:spacing w:before="0" w:beforeAutospacing="0" w:after="120" w:afterAutospacing="0"/>
        <w:jc w:val="both"/>
        <w:rPr>
          <w:rFonts w:asciiTheme="minorHAnsi" w:hAnsiTheme="minorHAnsi" w:cstheme="minorHAnsi"/>
          <w:sz w:val="22"/>
          <w:szCs w:val="22"/>
        </w:rPr>
      </w:pPr>
      <w:r w:rsidRPr="00C75D5C">
        <w:rPr>
          <w:rFonts w:asciiTheme="minorHAnsi" w:hAnsiTheme="minorHAnsi" w:cstheme="minorHAnsi"/>
          <w:sz w:val="22"/>
          <w:szCs w:val="22"/>
        </w:rPr>
        <w:t xml:space="preserve">Only </w:t>
      </w:r>
      <w:r w:rsidR="00055FA3" w:rsidRPr="00C75D5C">
        <w:rPr>
          <w:rFonts w:asciiTheme="minorHAnsi" w:hAnsiTheme="minorHAnsi" w:cstheme="minorHAnsi"/>
          <w:sz w:val="22"/>
          <w:szCs w:val="22"/>
        </w:rPr>
        <w:t>a registered Market Participant</w:t>
      </w:r>
      <w:r w:rsidRPr="00C75D5C">
        <w:rPr>
          <w:rFonts w:asciiTheme="minorHAnsi" w:hAnsiTheme="minorHAnsi" w:cstheme="minorHAnsi"/>
          <w:sz w:val="22"/>
          <w:szCs w:val="22"/>
        </w:rPr>
        <w:t xml:space="preserve"> </w:t>
      </w:r>
      <w:r w:rsidR="00E8225E" w:rsidRPr="00C75D5C">
        <w:rPr>
          <w:rFonts w:asciiTheme="minorHAnsi" w:hAnsiTheme="minorHAnsi" w:cstheme="minorHAnsi"/>
          <w:sz w:val="22"/>
          <w:szCs w:val="22"/>
        </w:rPr>
        <w:t xml:space="preserve">(MP) </w:t>
      </w:r>
      <w:r w:rsidRPr="00C75D5C">
        <w:rPr>
          <w:rFonts w:asciiTheme="minorHAnsi" w:hAnsiTheme="minorHAnsi" w:cstheme="minorHAnsi"/>
          <w:sz w:val="22"/>
          <w:szCs w:val="22"/>
        </w:rPr>
        <w:t xml:space="preserve">will be able to participate in </w:t>
      </w:r>
      <w:r w:rsidR="00527504" w:rsidRPr="00C75D5C">
        <w:rPr>
          <w:rFonts w:asciiTheme="minorHAnsi" w:hAnsiTheme="minorHAnsi" w:cstheme="minorHAnsi"/>
          <w:sz w:val="22"/>
          <w:szCs w:val="22"/>
        </w:rPr>
        <w:t>the Congestion Hedging process.</w:t>
      </w:r>
      <w:r w:rsidR="00055FA3" w:rsidRPr="00C75D5C">
        <w:rPr>
          <w:rFonts w:asciiTheme="minorHAnsi" w:hAnsiTheme="minorHAnsi" w:cstheme="minorHAnsi"/>
          <w:sz w:val="22"/>
          <w:szCs w:val="22"/>
        </w:rPr>
        <w:t xml:space="preserve"> </w:t>
      </w:r>
      <w:r w:rsidR="00EF41D1" w:rsidRPr="00C75D5C">
        <w:rPr>
          <w:rFonts w:asciiTheme="minorHAnsi" w:hAnsiTheme="minorHAnsi" w:cstheme="minorHAnsi"/>
          <w:sz w:val="22"/>
          <w:szCs w:val="22"/>
        </w:rPr>
        <w:t>Parties who anticipate eventual participation in the Congestion Hedging process and have not become a SPP</w:t>
      </w:r>
      <w:r w:rsidR="00055FA3" w:rsidRPr="00C75D5C">
        <w:rPr>
          <w:rFonts w:asciiTheme="minorHAnsi" w:hAnsiTheme="minorHAnsi" w:cstheme="minorHAnsi"/>
          <w:sz w:val="22"/>
          <w:szCs w:val="22"/>
        </w:rPr>
        <w:t xml:space="preserve"> Market Participant</w:t>
      </w:r>
      <w:r w:rsidR="00EF41D1" w:rsidRPr="00C75D5C">
        <w:rPr>
          <w:rFonts w:asciiTheme="minorHAnsi" w:hAnsiTheme="minorHAnsi" w:cstheme="minorHAnsi"/>
          <w:sz w:val="22"/>
          <w:szCs w:val="22"/>
        </w:rPr>
        <w:t xml:space="preserve"> should review lead time and requirements </w:t>
      </w:r>
      <w:r w:rsidR="00B02A36" w:rsidRPr="00C75D5C">
        <w:rPr>
          <w:rFonts w:asciiTheme="minorHAnsi" w:hAnsiTheme="minorHAnsi" w:cstheme="minorHAnsi"/>
          <w:sz w:val="22"/>
          <w:szCs w:val="22"/>
        </w:rPr>
        <w:t>outlined on the SPP website</w:t>
      </w:r>
      <w:r w:rsidR="00B02A36" w:rsidRPr="00C75D5C">
        <w:rPr>
          <w:rStyle w:val="FootnoteReference"/>
          <w:rFonts w:asciiTheme="minorHAnsi" w:hAnsiTheme="minorHAnsi" w:cstheme="minorHAnsi"/>
          <w:sz w:val="22"/>
          <w:szCs w:val="22"/>
        </w:rPr>
        <w:footnoteReference w:id="3"/>
      </w:r>
      <w:r w:rsidR="00B02A36" w:rsidRPr="00C75D5C">
        <w:rPr>
          <w:rStyle w:val="FootnoteReference"/>
          <w:rFonts w:asciiTheme="minorHAnsi" w:hAnsiTheme="minorHAnsi" w:cstheme="minorHAnsi"/>
        </w:rPr>
        <w:t xml:space="preserve"> </w:t>
      </w:r>
      <w:r w:rsidR="008665DF" w:rsidRPr="00C75D5C">
        <w:rPr>
          <w:rFonts w:asciiTheme="minorHAnsi" w:hAnsiTheme="minorHAnsi" w:cstheme="minorHAnsi"/>
          <w:sz w:val="22"/>
          <w:szCs w:val="22"/>
        </w:rPr>
        <w:t>to</w:t>
      </w:r>
      <w:r w:rsidR="00B02A36" w:rsidRPr="00C75D5C">
        <w:rPr>
          <w:rFonts w:asciiTheme="minorHAnsi" w:hAnsiTheme="minorHAnsi" w:cstheme="minorHAnsi"/>
          <w:sz w:val="22"/>
          <w:szCs w:val="22"/>
        </w:rPr>
        <w:t xml:space="preserve"> prepare accordingly</w:t>
      </w:r>
      <w:r w:rsidR="008665DF" w:rsidRPr="00C75D5C">
        <w:rPr>
          <w:rFonts w:asciiTheme="minorHAnsi" w:hAnsiTheme="minorHAnsi" w:cstheme="minorHAnsi"/>
          <w:sz w:val="22"/>
          <w:szCs w:val="22"/>
        </w:rPr>
        <w:t>.</w:t>
      </w:r>
    </w:p>
    <w:p w14:paraId="24B1E63C" w14:textId="77777777" w:rsidR="00481657" w:rsidRPr="00C75D5C" w:rsidRDefault="00481657" w:rsidP="000D0FB8">
      <w:pPr>
        <w:pStyle w:val="NormalWeb"/>
        <w:spacing w:before="0" w:beforeAutospacing="0" w:after="0" w:afterAutospacing="0"/>
        <w:jc w:val="both"/>
        <w:rPr>
          <w:rFonts w:asciiTheme="minorHAnsi" w:hAnsiTheme="minorHAnsi" w:cstheme="minorHAnsi"/>
          <w:sz w:val="22"/>
          <w:szCs w:val="22"/>
        </w:rPr>
      </w:pPr>
    </w:p>
    <w:p w14:paraId="57DA468A" w14:textId="043DFB14" w:rsidR="00B617DF" w:rsidRPr="008C568A" w:rsidRDefault="005D4F46" w:rsidP="008C568A">
      <w:pPr>
        <w:pStyle w:val="NormalWeb"/>
        <w:spacing w:before="0" w:beforeAutospacing="0" w:after="0" w:afterAutospacing="0"/>
        <w:jc w:val="center"/>
        <w:rPr>
          <w:rFonts w:asciiTheme="minorHAnsi" w:hAnsiTheme="minorHAnsi" w:cstheme="minorHAnsi"/>
          <w:b/>
          <w:i/>
          <w:szCs w:val="22"/>
          <w:u w:val="single"/>
        </w:rPr>
      </w:pPr>
      <w:r w:rsidRPr="008C568A">
        <w:rPr>
          <w:rFonts w:asciiTheme="minorHAnsi" w:hAnsiTheme="minorHAnsi" w:cstheme="minorHAnsi"/>
          <w:b/>
          <w:i/>
          <w:szCs w:val="22"/>
          <w:u w:val="single"/>
        </w:rPr>
        <w:t>ILTCR FAQ</w:t>
      </w:r>
    </w:p>
    <w:p w14:paraId="6BD1058E" w14:textId="77777777" w:rsidR="005D4F46" w:rsidRPr="00C75D5C" w:rsidRDefault="005D4F46" w:rsidP="000D0FB8">
      <w:pPr>
        <w:pStyle w:val="NormalWeb"/>
        <w:spacing w:before="0" w:beforeAutospacing="0" w:after="0" w:afterAutospacing="0"/>
        <w:jc w:val="both"/>
        <w:rPr>
          <w:rFonts w:asciiTheme="minorHAnsi" w:hAnsiTheme="minorHAnsi" w:cstheme="minorHAnsi"/>
          <w:sz w:val="22"/>
          <w:szCs w:val="22"/>
        </w:rPr>
      </w:pPr>
    </w:p>
    <w:p w14:paraId="4CCF083B" w14:textId="33A04FD7" w:rsidR="00B617DF" w:rsidRPr="00C75D5C" w:rsidRDefault="00286722" w:rsidP="00023FCC">
      <w:pPr>
        <w:pStyle w:val="NormalWeb"/>
        <w:spacing w:before="0" w:beforeAutospacing="0" w:after="120" w:afterAutospacing="0"/>
        <w:jc w:val="both"/>
        <w:rPr>
          <w:rFonts w:asciiTheme="minorHAnsi" w:hAnsiTheme="minorHAnsi" w:cstheme="minorHAnsi"/>
          <w:b/>
          <w:sz w:val="22"/>
          <w:szCs w:val="22"/>
        </w:rPr>
      </w:pPr>
      <w:r w:rsidRPr="00C75D5C">
        <w:rPr>
          <w:rFonts w:asciiTheme="minorHAnsi" w:hAnsiTheme="minorHAnsi" w:cstheme="minorHAnsi"/>
          <w:b/>
          <w:sz w:val="22"/>
          <w:szCs w:val="22"/>
        </w:rPr>
        <w:t xml:space="preserve">Q: </w:t>
      </w:r>
      <w:r w:rsidR="00B617DF" w:rsidRPr="00C75D5C">
        <w:rPr>
          <w:rFonts w:asciiTheme="minorHAnsi" w:hAnsiTheme="minorHAnsi" w:cstheme="minorHAnsi"/>
          <w:b/>
          <w:sz w:val="22"/>
          <w:szCs w:val="22"/>
        </w:rPr>
        <w:t>What is an ILTCR and the purpose of?</w:t>
      </w:r>
    </w:p>
    <w:p w14:paraId="0BC01E85" w14:textId="25289B88" w:rsidR="00B617DF" w:rsidRPr="00C75D5C" w:rsidRDefault="00286722" w:rsidP="003E398C">
      <w:pPr>
        <w:pStyle w:val="NormalWeb"/>
        <w:spacing w:before="0" w:beforeAutospacing="0" w:after="120" w:afterAutospacing="0"/>
        <w:jc w:val="both"/>
        <w:rPr>
          <w:rFonts w:asciiTheme="minorHAnsi" w:hAnsiTheme="minorHAnsi" w:cstheme="minorHAnsi"/>
          <w:sz w:val="22"/>
          <w:szCs w:val="22"/>
        </w:rPr>
      </w:pPr>
      <w:r w:rsidRPr="00C75D5C">
        <w:rPr>
          <w:rFonts w:asciiTheme="minorHAnsi" w:hAnsiTheme="minorHAnsi" w:cstheme="minorHAnsi"/>
          <w:sz w:val="22"/>
          <w:szCs w:val="22"/>
        </w:rPr>
        <w:t xml:space="preserve">A: </w:t>
      </w:r>
      <w:r w:rsidR="00E32C0A" w:rsidRPr="00C75D5C">
        <w:rPr>
          <w:rFonts w:asciiTheme="minorHAnsi" w:hAnsiTheme="minorHAnsi" w:cstheme="minorHAnsi"/>
          <w:sz w:val="22"/>
          <w:szCs w:val="22"/>
        </w:rPr>
        <w:t xml:space="preserve">ILTCR(s) are Incremental Long-Term Congestion Rights that are made available to </w:t>
      </w:r>
      <w:r w:rsidR="00DB4A77" w:rsidRPr="00C75D5C">
        <w:rPr>
          <w:rFonts w:asciiTheme="minorHAnsi" w:hAnsiTheme="minorHAnsi" w:cstheme="minorHAnsi"/>
          <w:sz w:val="22"/>
          <w:szCs w:val="22"/>
        </w:rPr>
        <w:t>Market Participants</w:t>
      </w:r>
      <w:r w:rsidR="00E32C0A" w:rsidRPr="00C75D5C">
        <w:rPr>
          <w:rFonts w:asciiTheme="minorHAnsi" w:hAnsiTheme="minorHAnsi" w:cstheme="minorHAnsi"/>
          <w:sz w:val="22"/>
          <w:szCs w:val="22"/>
        </w:rPr>
        <w:t xml:space="preserve"> who receive DAUC as a result of a Network Upgrade for the express purpose of cost recovery.</w:t>
      </w:r>
      <w:r w:rsidR="00B617DF" w:rsidRPr="00C75D5C">
        <w:rPr>
          <w:rFonts w:asciiTheme="minorHAnsi" w:hAnsiTheme="minorHAnsi" w:cstheme="minorHAnsi"/>
          <w:sz w:val="22"/>
          <w:szCs w:val="22"/>
        </w:rPr>
        <w:t> </w:t>
      </w:r>
    </w:p>
    <w:p w14:paraId="2976BFE2" w14:textId="2D78FB29" w:rsidR="00DE692A" w:rsidRPr="00C75D5C" w:rsidRDefault="00DE692A" w:rsidP="000D0FB8">
      <w:pPr>
        <w:pStyle w:val="NormalWeb"/>
        <w:spacing w:before="0" w:beforeAutospacing="0" w:after="0" w:afterAutospacing="0"/>
        <w:jc w:val="both"/>
        <w:rPr>
          <w:rFonts w:asciiTheme="minorHAnsi" w:hAnsiTheme="minorHAnsi" w:cstheme="minorHAnsi"/>
          <w:b/>
          <w:color w:val="000000"/>
          <w:sz w:val="22"/>
          <w:szCs w:val="22"/>
        </w:rPr>
      </w:pPr>
    </w:p>
    <w:p w14:paraId="645F8578" w14:textId="4549613C" w:rsidR="00B617DF" w:rsidRPr="00C75D5C" w:rsidRDefault="00286722" w:rsidP="00023FCC">
      <w:pPr>
        <w:pStyle w:val="NormalWeb"/>
        <w:spacing w:before="0" w:beforeAutospacing="0" w:after="120" w:afterAutospacing="0"/>
        <w:jc w:val="both"/>
        <w:rPr>
          <w:rFonts w:asciiTheme="minorHAnsi" w:hAnsiTheme="minorHAnsi" w:cstheme="minorHAnsi"/>
          <w:b/>
          <w:sz w:val="22"/>
          <w:szCs w:val="22"/>
        </w:rPr>
      </w:pPr>
      <w:r w:rsidRPr="00C75D5C">
        <w:rPr>
          <w:rFonts w:asciiTheme="minorHAnsi" w:hAnsiTheme="minorHAnsi" w:cstheme="minorHAnsi"/>
          <w:b/>
          <w:sz w:val="22"/>
          <w:szCs w:val="22"/>
        </w:rPr>
        <w:t xml:space="preserve">Q: </w:t>
      </w:r>
      <w:r w:rsidR="00B617DF" w:rsidRPr="00C75D5C">
        <w:rPr>
          <w:rFonts w:asciiTheme="minorHAnsi" w:hAnsiTheme="minorHAnsi" w:cstheme="minorHAnsi"/>
          <w:b/>
          <w:sz w:val="22"/>
          <w:szCs w:val="22"/>
        </w:rPr>
        <w:t>What does the Open Access Transmission Tariff (OATT) say about ILTCR?</w:t>
      </w:r>
    </w:p>
    <w:p w14:paraId="190537A7" w14:textId="56F90884" w:rsidR="00B617DF" w:rsidRPr="00C75D5C" w:rsidRDefault="00286722" w:rsidP="000D0FB8">
      <w:pPr>
        <w:pStyle w:val="NormalWeb"/>
        <w:spacing w:before="0" w:beforeAutospacing="0" w:after="0" w:afterAutospacing="0"/>
        <w:jc w:val="both"/>
        <w:rPr>
          <w:rFonts w:asciiTheme="minorHAnsi" w:hAnsiTheme="minorHAnsi" w:cstheme="minorHAnsi"/>
          <w:color w:val="000000"/>
          <w:sz w:val="22"/>
          <w:szCs w:val="22"/>
        </w:rPr>
      </w:pPr>
      <w:r w:rsidRPr="00C75D5C">
        <w:rPr>
          <w:rFonts w:asciiTheme="minorHAnsi" w:hAnsiTheme="minorHAnsi" w:cstheme="minorHAnsi"/>
          <w:color w:val="000000"/>
          <w:sz w:val="22"/>
          <w:szCs w:val="22"/>
        </w:rPr>
        <w:t xml:space="preserve">A: </w:t>
      </w:r>
      <w:r w:rsidR="00B617DF" w:rsidRPr="00C75D5C">
        <w:rPr>
          <w:rFonts w:asciiTheme="minorHAnsi" w:hAnsiTheme="minorHAnsi" w:cstheme="minorHAnsi"/>
          <w:color w:val="000000"/>
          <w:sz w:val="22"/>
          <w:szCs w:val="22"/>
        </w:rPr>
        <w:t xml:space="preserve">SPP OATT </w:t>
      </w:r>
      <w:r w:rsidR="00F84153" w:rsidRPr="00C75D5C">
        <w:rPr>
          <w:rFonts w:asciiTheme="minorHAnsi" w:hAnsiTheme="minorHAnsi" w:cstheme="minorHAnsi"/>
          <w:color w:val="000000"/>
          <w:sz w:val="22"/>
          <w:szCs w:val="22"/>
        </w:rPr>
        <w:t xml:space="preserve">Part 1, </w:t>
      </w:r>
      <w:r w:rsidR="00B617DF" w:rsidRPr="00C75D5C">
        <w:rPr>
          <w:rFonts w:asciiTheme="minorHAnsi" w:hAnsiTheme="minorHAnsi" w:cstheme="minorHAnsi"/>
          <w:color w:val="000000"/>
          <w:sz w:val="22"/>
          <w:szCs w:val="22"/>
        </w:rPr>
        <w:t>Section I</w:t>
      </w:r>
      <w:r w:rsidR="00F84153" w:rsidRPr="00C75D5C">
        <w:rPr>
          <w:rFonts w:asciiTheme="minorHAnsi" w:hAnsiTheme="minorHAnsi" w:cstheme="minorHAnsi"/>
          <w:color w:val="000000"/>
          <w:sz w:val="22"/>
          <w:szCs w:val="22"/>
        </w:rPr>
        <w:t>(</w:t>
      </w:r>
      <w:r w:rsidR="00B617DF" w:rsidRPr="00C75D5C">
        <w:rPr>
          <w:rFonts w:asciiTheme="minorHAnsi" w:hAnsiTheme="minorHAnsi" w:cstheme="minorHAnsi"/>
          <w:color w:val="000000"/>
          <w:sz w:val="22"/>
          <w:szCs w:val="22"/>
        </w:rPr>
        <w:t>1</w:t>
      </w:r>
      <w:r w:rsidR="00F84153" w:rsidRPr="00C75D5C">
        <w:rPr>
          <w:rFonts w:asciiTheme="minorHAnsi" w:hAnsiTheme="minorHAnsi" w:cstheme="minorHAnsi"/>
          <w:color w:val="000000"/>
          <w:sz w:val="22"/>
          <w:szCs w:val="22"/>
        </w:rPr>
        <w:t>)(</w:t>
      </w:r>
      <w:r w:rsidR="00B617DF" w:rsidRPr="00C75D5C">
        <w:rPr>
          <w:rFonts w:asciiTheme="minorHAnsi" w:hAnsiTheme="minorHAnsi" w:cstheme="minorHAnsi"/>
          <w:color w:val="000000"/>
          <w:sz w:val="22"/>
          <w:szCs w:val="22"/>
        </w:rPr>
        <w:t>I</w:t>
      </w:r>
      <w:r w:rsidR="00F84153" w:rsidRPr="00C75D5C">
        <w:rPr>
          <w:rFonts w:asciiTheme="minorHAnsi" w:hAnsiTheme="minorHAnsi" w:cstheme="minorHAnsi"/>
          <w:color w:val="000000"/>
          <w:sz w:val="22"/>
          <w:szCs w:val="22"/>
        </w:rPr>
        <w:t>)</w:t>
      </w:r>
      <w:r w:rsidR="00B617DF" w:rsidRPr="00C75D5C">
        <w:rPr>
          <w:rFonts w:asciiTheme="minorHAnsi" w:hAnsiTheme="minorHAnsi" w:cstheme="minorHAnsi"/>
          <w:color w:val="000000"/>
          <w:sz w:val="22"/>
          <w:szCs w:val="22"/>
        </w:rPr>
        <w:t xml:space="preserve"> </w:t>
      </w:r>
      <w:r w:rsidR="00F84153" w:rsidRPr="00C75D5C">
        <w:rPr>
          <w:rFonts w:asciiTheme="minorHAnsi" w:hAnsiTheme="minorHAnsi" w:cstheme="minorHAnsi"/>
          <w:color w:val="000000"/>
          <w:sz w:val="22"/>
          <w:szCs w:val="22"/>
        </w:rPr>
        <w:t xml:space="preserve">defines </w:t>
      </w:r>
      <w:r w:rsidR="00B617DF" w:rsidRPr="00C75D5C">
        <w:rPr>
          <w:rFonts w:asciiTheme="minorHAnsi" w:hAnsiTheme="minorHAnsi" w:cstheme="minorHAnsi"/>
          <w:color w:val="000000"/>
          <w:sz w:val="22"/>
          <w:szCs w:val="22"/>
        </w:rPr>
        <w:t xml:space="preserve">ILTCR </w:t>
      </w:r>
      <w:r w:rsidR="00F84153" w:rsidRPr="00C75D5C">
        <w:rPr>
          <w:rFonts w:asciiTheme="minorHAnsi" w:hAnsiTheme="minorHAnsi" w:cstheme="minorHAnsi"/>
          <w:color w:val="000000"/>
          <w:sz w:val="22"/>
          <w:szCs w:val="22"/>
        </w:rPr>
        <w:t xml:space="preserve">as </w:t>
      </w:r>
      <w:r w:rsidR="00B617DF" w:rsidRPr="00C75D5C">
        <w:rPr>
          <w:rFonts w:asciiTheme="minorHAnsi" w:hAnsiTheme="minorHAnsi" w:cstheme="minorHAnsi"/>
          <w:color w:val="000000"/>
          <w:sz w:val="22"/>
          <w:szCs w:val="22"/>
        </w:rPr>
        <w:t>"</w:t>
      </w:r>
      <w:r w:rsidR="00F84153" w:rsidRPr="00C75D5C">
        <w:rPr>
          <w:rFonts w:asciiTheme="minorHAnsi" w:hAnsiTheme="minorHAnsi" w:cstheme="minorHAnsi"/>
          <w:color w:val="000000"/>
          <w:sz w:val="22"/>
          <w:szCs w:val="22"/>
        </w:rPr>
        <w:t>[a]</w:t>
      </w:r>
      <w:r w:rsidR="00B617DF" w:rsidRPr="00C75D5C">
        <w:rPr>
          <w:rFonts w:asciiTheme="minorHAnsi" w:hAnsiTheme="minorHAnsi" w:cstheme="minorHAnsi"/>
          <w:color w:val="000000"/>
          <w:sz w:val="22"/>
          <w:szCs w:val="22"/>
        </w:rPr>
        <w:t>n instrument that entitles an Upgrade Sponsor to a Transmission Congestion Right that results from the incremental ATC created from the portion of an upgrade for which there is a Directly Assigned Upgrade Cost, which is awarded during the Transmission Provider’s annual LTCR allocation process."</w:t>
      </w:r>
    </w:p>
    <w:p w14:paraId="7834C447" w14:textId="77777777" w:rsidR="00B617DF" w:rsidRPr="00C75D5C" w:rsidRDefault="00B617DF" w:rsidP="000D0FB8">
      <w:pPr>
        <w:pStyle w:val="NormalWeb"/>
        <w:spacing w:before="0" w:beforeAutospacing="0" w:after="0" w:afterAutospacing="0"/>
        <w:jc w:val="both"/>
        <w:rPr>
          <w:rFonts w:asciiTheme="minorHAnsi" w:hAnsiTheme="minorHAnsi" w:cstheme="minorHAnsi"/>
          <w:color w:val="000000"/>
          <w:sz w:val="22"/>
          <w:szCs w:val="22"/>
        </w:rPr>
      </w:pPr>
      <w:r w:rsidRPr="00C75D5C">
        <w:rPr>
          <w:rFonts w:asciiTheme="minorHAnsi" w:hAnsiTheme="minorHAnsi" w:cstheme="minorHAnsi"/>
          <w:color w:val="000000"/>
          <w:sz w:val="22"/>
          <w:szCs w:val="22"/>
        </w:rPr>
        <w:t> </w:t>
      </w:r>
    </w:p>
    <w:p w14:paraId="1B5AC3FE" w14:textId="4C3AF1E7" w:rsidR="00B617DF" w:rsidRPr="00C75D5C" w:rsidRDefault="00B617DF" w:rsidP="000D0FB8">
      <w:pPr>
        <w:pStyle w:val="NormalWeb"/>
        <w:spacing w:before="0" w:beforeAutospacing="0" w:after="0" w:afterAutospacing="0"/>
        <w:jc w:val="both"/>
        <w:rPr>
          <w:rFonts w:asciiTheme="minorHAnsi" w:hAnsiTheme="minorHAnsi" w:cstheme="minorHAnsi"/>
          <w:color w:val="000000"/>
          <w:sz w:val="22"/>
          <w:szCs w:val="22"/>
        </w:rPr>
      </w:pPr>
      <w:r w:rsidRPr="00C75D5C">
        <w:rPr>
          <w:rFonts w:asciiTheme="minorHAnsi" w:hAnsiTheme="minorHAnsi" w:cstheme="minorHAnsi"/>
          <w:color w:val="000000"/>
          <w:sz w:val="22"/>
          <w:szCs w:val="22"/>
        </w:rPr>
        <w:t>SPP OATT Attachment J</w:t>
      </w:r>
      <w:r w:rsidR="00F84153" w:rsidRPr="00C75D5C">
        <w:rPr>
          <w:rFonts w:asciiTheme="minorHAnsi" w:hAnsiTheme="minorHAnsi" w:cstheme="minorHAnsi"/>
          <w:color w:val="000000"/>
          <w:sz w:val="22"/>
          <w:szCs w:val="22"/>
        </w:rPr>
        <w:t>, Section</w:t>
      </w:r>
      <w:r w:rsidRPr="00C75D5C">
        <w:rPr>
          <w:rFonts w:asciiTheme="minorHAnsi" w:hAnsiTheme="minorHAnsi" w:cstheme="minorHAnsi"/>
          <w:color w:val="000000"/>
          <w:sz w:val="22"/>
          <w:szCs w:val="22"/>
        </w:rPr>
        <w:t xml:space="preserve"> </w:t>
      </w:r>
      <w:proofErr w:type="gramStart"/>
      <w:r w:rsidRPr="00C75D5C">
        <w:rPr>
          <w:rFonts w:asciiTheme="minorHAnsi" w:hAnsiTheme="minorHAnsi" w:cstheme="minorHAnsi"/>
          <w:color w:val="000000"/>
          <w:sz w:val="22"/>
          <w:szCs w:val="22"/>
        </w:rPr>
        <w:t>V</w:t>
      </w:r>
      <w:r w:rsidR="00F84153" w:rsidRPr="00C75D5C">
        <w:rPr>
          <w:rFonts w:asciiTheme="minorHAnsi" w:hAnsiTheme="minorHAnsi" w:cstheme="minorHAnsi"/>
          <w:color w:val="000000"/>
          <w:sz w:val="22"/>
          <w:szCs w:val="22"/>
        </w:rPr>
        <w:t>(</w:t>
      </w:r>
      <w:proofErr w:type="gramEnd"/>
      <w:r w:rsidRPr="00C75D5C">
        <w:rPr>
          <w:rFonts w:asciiTheme="minorHAnsi" w:hAnsiTheme="minorHAnsi" w:cstheme="minorHAnsi"/>
          <w:color w:val="000000"/>
          <w:sz w:val="22"/>
          <w:szCs w:val="22"/>
        </w:rPr>
        <w:t>A</w:t>
      </w:r>
      <w:r w:rsidR="00F84153" w:rsidRPr="00C75D5C">
        <w:rPr>
          <w:rFonts w:asciiTheme="minorHAnsi" w:hAnsiTheme="minorHAnsi" w:cstheme="minorHAnsi"/>
          <w:color w:val="000000"/>
          <w:sz w:val="22"/>
          <w:szCs w:val="22"/>
        </w:rPr>
        <w:t>)</w:t>
      </w:r>
      <w:r w:rsidRPr="00C75D5C">
        <w:rPr>
          <w:rFonts w:asciiTheme="minorHAnsi" w:hAnsiTheme="minorHAnsi" w:cstheme="minorHAnsi"/>
          <w:color w:val="000000"/>
          <w:sz w:val="22"/>
          <w:szCs w:val="22"/>
        </w:rPr>
        <w:t xml:space="preserve"> </w:t>
      </w:r>
      <w:r w:rsidR="00D854ED" w:rsidRPr="00C75D5C">
        <w:rPr>
          <w:rFonts w:asciiTheme="minorHAnsi" w:hAnsiTheme="minorHAnsi" w:cstheme="minorHAnsi"/>
          <w:color w:val="000000"/>
          <w:sz w:val="22"/>
          <w:szCs w:val="22"/>
        </w:rPr>
        <w:t>–</w:t>
      </w:r>
      <w:r w:rsidRPr="00C75D5C">
        <w:rPr>
          <w:rFonts w:asciiTheme="minorHAnsi" w:hAnsiTheme="minorHAnsi" w:cstheme="minorHAnsi"/>
          <w:color w:val="000000"/>
          <w:sz w:val="22"/>
          <w:szCs w:val="22"/>
        </w:rPr>
        <w:t xml:space="preserve"> </w:t>
      </w:r>
      <w:r w:rsidR="00D854ED" w:rsidRPr="00C75D5C">
        <w:rPr>
          <w:rFonts w:asciiTheme="minorHAnsi" w:hAnsiTheme="minorHAnsi" w:cstheme="minorHAnsi"/>
          <w:color w:val="000000"/>
          <w:sz w:val="22"/>
          <w:szCs w:val="22"/>
        </w:rPr>
        <w:t>(</w:t>
      </w:r>
      <w:r w:rsidRPr="00C75D5C">
        <w:rPr>
          <w:rFonts w:asciiTheme="minorHAnsi" w:hAnsiTheme="minorHAnsi" w:cstheme="minorHAnsi"/>
          <w:color w:val="000000"/>
          <w:sz w:val="22"/>
          <w:szCs w:val="22"/>
        </w:rPr>
        <w:t>C</w:t>
      </w:r>
      <w:r w:rsidR="00D854ED" w:rsidRPr="00C75D5C">
        <w:rPr>
          <w:rFonts w:asciiTheme="minorHAnsi" w:hAnsiTheme="minorHAnsi" w:cstheme="minorHAnsi"/>
          <w:color w:val="000000"/>
          <w:sz w:val="22"/>
          <w:szCs w:val="22"/>
        </w:rPr>
        <w:t>)</w:t>
      </w:r>
      <w:r w:rsidRPr="00C75D5C">
        <w:rPr>
          <w:rFonts w:asciiTheme="minorHAnsi" w:hAnsiTheme="minorHAnsi" w:cstheme="minorHAnsi"/>
          <w:color w:val="000000"/>
          <w:sz w:val="22"/>
          <w:szCs w:val="22"/>
        </w:rPr>
        <w:t xml:space="preserve"> describes eligibility for cost recovery through candidate ILTCRs per upgrade type (Sponsored Upgrades, Service Upgrades, and Generation Interconnection Related Network Upgrades).</w:t>
      </w:r>
    </w:p>
    <w:p w14:paraId="041DA5D8" w14:textId="77777777" w:rsidR="00B617DF" w:rsidRPr="00C75D5C" w:rsidRDefault="00B617DF" w:rsidP="000D0FB8">
      <w:pPr>
        <w:pStyle w:val="NormalWeb"/>
        <w:spacing w:before="0" w:beforeAutospacing="0" w:after="0" w:afterAutospacing="0"/>
        <w:jc w:val="both"/>
        <w:rPr>
          <w:rFonts w:asciiTheme="minorHAnsi" w:hAnsiTheme="minorHAnsi" w:cstheme="minorHAnsi"/>
          <w:color w:val="000000"/>
          <w:sz w:val="22"/>
          <w:szCs w:val="22"/>
        </w:rPr>
      </w:pPr>
      <w:r w:rsidRPr="00C75D5C">
        <w:rPr>
          <w:rFonts w:asciiTheme="minorHAnsi" w:hAnsiTheme="minorHAnsi" w:cstheme="minorHAnsi"/>
          <w:color w:val="000000"/>
          <w:sz w:val="22"/>
          <w:szCs w:val="22"/>
        </w:rPr>
        <w:t> </w:t>
      </w:r>
    </w:p>
    <w:p w14:paraId="006FF649" w14:textId="78D19441" w:rsidR="00B617DF" w:rsidRPr="00C75D5C" w:rsidRDefault="00B617DF" w:rsidP="000D0FB8">
      <w:pPr>
        <w:pStyle w:val="NormalWeb"/>
        <w:spacing w:before="0" w:beforeAutospacing="0" w:after="0" w:afterAutospacing="0"/>
        <w:jc w:val="both"/>
        <w:rPr>
          <w:rFonts w:asciiTheme="minorHAnsi" w:hAnsiTheme="minorHAnsi" w:cstheme="minorHAnsi"/>
          <w:color w:val="000000"/>
          <w:sz w:val="22"/>
          <w:szCs w:val="22"/>
        </w:rPr>
      </w:pPr>
      <w:r w:rsidRPr="00C75D5C">
        <w:rPr>
          <w:rFonts w:asciiTheme="minorHAnsi" w:hAnsiTheme="minorHAnsi" w:cstheme="minorHAnsi"/>
          <w:color w:val="000000"/>
          <w:sz w:val="22"/>
          <w:szCs w:val="22"/>
        </w:rPr>
        <w:t>SPP OATT Attachment Z2</w:t>
      </w:r>
      <w:r w:rsidR="00F84153" w:rsidRPr="00C75D5C">
        <w:rPr>
          <w:rFonts w:asciiTheme="minorHAnsi" w:hAnsiTheme="minorHAnsi" w:cstheme="minorHAnsi"/>
          <w:color w:val="000000"/>
          <w:sz w:val="22"/>
          <w:szCs w:val="22"/>
        </w:rPr>
        <w:t>, Section I</w:t>
      </w:r>
      <w:r w:rsidRPr="00C75D5C">
        <w:rPr>
          <w:rFonts w:asciiTheme="minorHAnsi" w:hAnsiTheme="minorHAnsi" w:cstheme="minorHAnsi"/>
          <w:color w:val="000000"/>
          <w:sz w:val="22"/>
          <w:szCs w:val="22"/>
        </w:rPr>
        <w:t xml:space="preserve"> clarifies t</w:t>
      </w:r>
      <w:r w:rsidR="00DB4A77" w:rsidRPr="00C75D5C">
        <w:rPr>
          <w:rFonts w:asciiTheme="minorHAnsi" w:hAnsiTheme="minorHAnsi" w:cstheme="minorHAnsi"/>
          <w:color w:val="000000"/>
          <w:sz w:val="22"/>
          <w:szCs w:val="22"/>
        </w:rPr>
        <w:t>hat all Network Upgrades with a</w:t>
      </w:r>
      <w:r w:rsidR="004B5AC1" w:rsidRPr="00C75D5C">
        <w:rPr>
          <w:rFonts w:asciiTheme="minorHAnsi" w:hAnsiTheme="minorHAnsi" w:cstheme="minorHAnsi"/>
          <w:color w:val="000000"/>
          <w:sz w:val="22"/>
          <w:szCs w:val="22"/>
        </w:rPr>
        <w:t xml:space="preserve">n agreement authorizing </w:t>
      </w:r>
      <w:r w:rsidR="00F60F2D" w:rsidRPr="00C75D5C">
        <w:rPr>
          <w:rFonts w:asciiTheme="minorHAnsi" w:hAnsiTheme="minorHAnsi" w:cstheme="minorHAnsi"/>
          <w:color w:val="000000"/>
          <w:sz w:val="22"/>
          <w:szCs w:val="22"/>
        </w:rPr>
        <w:t>construction</w:t>
      </w:r>
      <w:r w:rsidR="004B5AC1" w:rsidRPr="00C75D5C">
        <w:rPr>
          <w:rFonts w:asciiTheme="minorHAnsi" w:hAnsiTheme="minorHAnsi" w:cstheme="minorHAnsi"/>
          <w:color w:val="000000"/>
          <w:sz w:val="22"/>
          <w:szCs w:val="22"/>
        </w:rPr>
        <w:t xml:space="preserve"> (i.e., Generator Interconnection Agreement, Agreement for Sponsored Upgrade, or Service </w:t>
      </w:r>
      <w:r w:rsidR="004B5AC1" w:rsidRPr="00C75D5C">
        <w:rPr>
          <w:rFonts w:asciiTheme="minorHAnsi" w:hAnsiTheme="minorHAnsi" w:cstheme="minorHAnsi"/>
          <w:color w:val="000000"/>
          <w:sz w:val="22"/>
          <w:szCs w:val="22"/>
        </w:rPr>
        <w:lastRenderedPageBreak/>
        <w:t>Agreement for long-term transmission service)</w:t>
      </w:r>
      <w:r w:rsidR="003E51EC" w:rsidRPr="00C75D5C">
        <w:rPr>
          <w:rFonts w:asciiTheme="minorHAnsi" w:hAnsiTheme="minorHAnsi" w:cstheme="minorHAnsi"/>
          <w:color w:val="000000"/>
          <w:sz w:val="22"/>
          <w:szCs w:val="22"/>
        </w:rPr>
        <w:t xml:space="preserve"> that is executed after July 1, 2020, or with an effective date after July 1, 2020 if filed unexecuted,</w:t>
      </w:r>
      <w:r w:rsidRPr="00C75D5C">
        <w:rPr>
          <w:rFonts w:asciiTheme="minorHAnsi" w:hAnsiTheme="minorHAnsi" w:cstheme="minorHAnsi"/>
          <w:color w:val="000000"/>
          <w:sz w:val="22"/>
          <w:szCs w:val="22"/>
        </w:rPr>
        <w:t xml:space="preserve"> are only eligible for ILTCR</w:t>
      </w:r>
      <w:r w:rsidR="00B921C9" w:rsidRPr="00C75D5C">
        <w:rPr>
          <w:rFonts w:asciiTheme="minorHAnsi" w:hAnsiTheme="minorHAnsi" w:cstheme="minorHAnsi"/>
          <w:color w:val="000000"/>
          <w:sz w:val="22"/>
          <w:szCs w:val="22"/>
        </w:rPr>
        <w:t>s as a cost recovery mechanism.</w:t>
      </w:r>
    </w:p>
    <w:p w14:paraId="62480571" w14:textId="77777777" w:rsidR="00B617DF" w:rsidRPr="00C75D5C" w:rsidRDefault="00B617DF" w:rsidP="000D0FB8">
      <w:pPr>
        <w:pStyle w:val="NormalWeb"/>
        <w:spacing w:before="0" w:beforeAutospacing="0" w:after="0" w:afterAutospacing="0"/>
        <w:jc w:val="both"/>
        <w:rPr>
          <w:rFonts w:asciiTheme="minorHAnsi" w:hAnsiTheme="minorHAnsi" w:cstheme="minorHAnsi"/>
          <w:color w:val="000000"/>
          <w:sz w:val="22"/>
          <w:szCs w:val="22"/>
        </w:rPr>
      </w:pPr>
      <w:r w:rsidRPr="00C75D5C">
        <w:rPr>
          <w:rFonts w:asciiTheme="minorHAnsi" w:hAnsiTheme="minorHAnsi" w:cstheme="minorHAnsi"/>
          <w:color w:val="000000"/>
          <w:sz w:val="22"/>
          <w:szCs w:val="22"/>
        </w:rPr>
        <w:t> </w:t>
      </w:r>
    </w:p>
    <w:p w14:paraId="00059F5D" w14:textId="47F0C788" w:rsidR="00B617DF" w:rsidRPr="00C75D5C" w:rsidRDefault="00B617DF" w:rsidP="003E398C">
      <w:pPr>
        <w:pStyle w:val="NormalWeb"/>
        <w:spacing w:before="0" w:beforeAutospacing="0" w:after="120" w:afterAutospacing="0"/>
        <w:jc w:val="both"/>
        <w:rPr>
          <w:rFonts w:asciiTheme="minorHAnsi" w:hAnsiTheme="minorHAnsi" w:cstheme="minorHAnsi"/>
          <w:sz w:val="22"/>
          <w:szCs w:val="22"/>
        </w:rPr>
      </w:pPr>
      <w:r w:rsidRPr="00C75D5C">
        <w:rPr>
          <w:rFonts w:asciiTheme="minorHAnsi" w:hAnsiTheme="minorHAnsi" w:cstheme="minorHAnsi"/>
          <w:sz w:val="22"/>
          <w:szCs w:val="22"/>
        </w:rPr>
        <w:t>SPP OATT Attachment AE</w:t>
      </w:r>
      <w:r w:rsidR="00F84153" w:rsidRPr="00C75D5C">
        <w:rPr>
          <w:rFonts w:asciiTheme="minorHAnsi" w:hAnsiTheme="minorHAnsi" w:cstheme="minorHAnsi"/>
          <w:sz w:val="22"/>
          <w:szCs w:val="22"/>
        </w:rPr>
        <w:t>, Section</w:t>
      </w:r>
      <w:r w:rsidR="00F60F2D" w:rsidRPr="00C75D5C">
        <w:rPr>
          <w:rFonts w:asciiTheme="minorHAnsi" w:hAnsiTheme="minorHAnsi" w:cstheme="minorHAnsi"/>
          <w:sz w:val="22"/>
          <w:szCs w:val="22"/>
        </w:rPr>
        <w:t xml:space="preserve"> </w:t>
      </w:r>
      <w:r w:rsidRPr="00C75D5C">
        <w:rPr>
          <w:rFonts w:asciiTheme="minorHAnsi" w:hAnsiTheme="minorHAnsi" w:cstheme="minorHAnsi"/>
          <w:sz w:val="22"/>
          <w:szCs w:val="22"/>
        </w:rPr>
        <w:t>7</w:t>
      </w:r>
      <w:r w:rsidR="00F84153" w:rsidRPr="00C75D5C">
        <w:rPr>
          <w:rFonts w:asciiTheme="minorHAnsi" w:hAnsiTheme="minorHAnsi" w:cstheme="minorHAnsi"/>
          <w:sz w:val="22"/>
          <w:szCs w:val="22"/>
        </w:rPr>
        <w:t>.2</w:t>
      </w:r>
      <w:r w:rsidRPr="00C75D5C">
        <w:rPr>
          <w:rFonts w:asciiTheme="minorHAnsi" w:hAnsiTheme="minorHAnsi" w:cstheme="minorHAnsi"/>
          <w:sz w:val="22"/>
          <w:szCs w:val="22"/>
        </w:rPr>
        <w:t xml:space="preserve"> describes the sub processes relevant to ILTCR in the TCR Markets process.</w:t>
      </w:r>
    </w:p>
    <w:p w14:paraId="72BF7385" w14:textId="77777777" w:rsidR="00B617DF" w:rsidRPr="00C75D5C" w:rsidRDefault="00B617DF" w:rsidP="00286722">
      <w:pPr>
        <w:pStyle w:val="NormalWeb"/>
        <w:spacing w:before="0" w:beforeAutospacing="0" w:after="0" w:afterAutospacing="0"/>
        <w:jc w:val="both"/>
        <w:rPr>
          <w:rFonts w:asciiTheme="minorHAnsi" w:hAnsiTheme="minorHAnsi" w:cstheme="minorHAnsi"/>
          <w:b/>
          <w:color w:val="000000"/>
          <w:sz w:val="22"/>
          <w:szCs w:val="22"/>
        </w:rPr>
      </w:pPr>
      <w:r w:rsidRPr="00C75D5C">
        <w:rPr>
          <w:rFonts w:asciiTheme="minorHAnsi" w:hAnsiTheme="minorHAnsi" w:cstheme="minorHAnsi"/>
          <w:b/>
          <w:color w:val="000000"/>
          <w:sz w:val="22"/>
          <w:szCs w:val="22"/>
        </w:rPr>
        <w:t> </w:t>
      </w:r>
    </w:p>
    <w:p w14:paraId="35BFB320" w14:textId="656B03C5" w:rsidR="00B617DF" w:rsidRPr="00C75D5C" w:rsidRDefault="00286722" w:rsidP="00023FCC">
      <w:pPr>
        <w:pStyle w:val="NormalWeb"/>
        <w:spacing w:before="0" w:beforeAutospacing="0" w:after="120" w:afterAutospacing="0"/>
        <w:jc w:val="both"/>
        <w:rPr>
          <w:rFonts w:asciiTheme="minorHAnsi" w:hAnsiTheme="minorHAnsi" w:cstheme="minorHAnsi"/>
          <w:b/>
          <w:sz w:val="22"/>
          <w:szCs w:val="22"/>
        </w:rPr>
      </w:pPr>
      <w:r w:rsidRPr="00C75D5C">
        <w:rPr>
          <w:rFonts w:asciiTheme="minorHAnsi" w:hAnsiTheme="minorHAnsi" w:cstheme="minorHAnsi"/>
          <w:b/>
          <w:sz w:val="22"/>
          <w:szCs w:val="22"/>
        </w:rPr>
        <w:t xml:space="preserve">Q: </w:t>
      </w:r>
      <w:r w:rsidR="00B617DF" w:rsidRPr="00C75D5C">
        <w:rPr>
          <w:rFonts w:asciiTheme="minorHAnsi" w:hAnsiTheme="minorHAnsi" w:cstheme="minorHAnsi"/>
          <w:b/>
          <w:sz w:val="22"/>
          <w:szCs w:val="22"/>
        </w:rPr>
        <w:t>When and how long will an ILTCR Analysis take to complete?</w:t>
      </w:r>
    </w:p>
    <w:p w14:paraId="52DECEDF" w14:textId="2A3707EE" w:rsidR="00CB7E06" w:rsidRPr="00C75D5C" w:rsidRDefault="00286722" w:rsidP="000D0FB8">
      <w:pPr>
        <w:pStyle w:val="NormalWeb"/>
        <w:spacing w:before="0" w:beforeAutospacing="0" w:after="0" w:afterAutospacing="0"/>
        <w:jc w:val="both"/>
        <w:rPr>
          <w:rFonts w:asciiTheme="minorHAnsi" w:hAnsiTheme="minorHAnsi" w:cstheme="minorHAnsi"/>
          <w:color w:val="000000"/>
          <w:sz w:val="22"/>
          <w:szCs w:val="22"/>
        </w:rPr>
      </w:pPr>
      <w:r w:rsidRPr="00C75D5C">
        <w:rPr>
          <w:rFonts w:asciiTheme="minorHAnsi" w:hAnsiTheme="minorHAnsi" w:cstheme="minorHAnsi"/>
          <w:color w:val="000000"/>
          <w:sz w:val="22"/>
          <w:szCs w:val="22"/>
        </w:rPr>
        <w:t xml:space="preserve">A: </w:t>
      </w:r>
      <w:r w:rsidR="00CB7E06" w:rsidRPr="00C75D5C">
        <w:rPr>
          <w:rFonts w:asciiTheme="minorHAnsi" w:hAnsiTheme="minorHAnsi" w:cstheme="minorHAnsi"/>
          <w:color w:val="000000"/>
          <w:sz w:val="22"/>
          <w:szCs w:val="22"/>
        </w:rPr>
        <w:t xml:space="preserve">For Generation Interconnection Studies, </w:t>
      </w:r>
      <w:r w:rsidR="00771F52" w:rsidRPr="00C75D5C">
        <w:rPr>
          <w:rFonts w:asciiTheme="minorHAnsi" w:hAnsiTheme="minorHAnsi" w:cstheme="minorHAnsi"/>
          <w:color w:val="000000"/>
          <w:sz w:val="22"/>
          <w:szCs w:val="22"/>
        </w:rPr>
        <w:t>the source/sink elections will take place during Decision Point 2 with the analysis being conducted during the Phase 3 Facility Study.</w:t>
      </w:r>
    </w:p>
    <w:p w14:paraId="48B32E7B" w14:textId="77777777" w:rsidR="00CB7E06" w:rsidRPr="00C75D5C" w:rsidRDefault="00CB7E06" w:rsidP="000D0FB8">
      <w:pPr>
        <w:pStyle w:val="NormalWeb"/>
        <w:spacing w:before="0" w:beforeAutospacing="0" w:after="0" w:afterAutospacing="0"/>
        <w:jc w:val="both"/>
        <w:rPr>
          <w:rFonts w:asciiTheme="minorHAnsi" w:hAnsiTheme="minorHAnsi" w:cstheme="minorHAnsi"/>
          <w:color w:val="000000"/>
          <w:sz w:val="22"/>
          <w:szCs w:val="22"/>
        </w:rPr>
      </w:pPr>
    </w:p>
    <w:p w14:paraId="1D0B0CFC" w14:textId="0653915B" w:rsidR="00B617DF" w:rsidRPr="00C75D5C" w:rsidRDefault="00B617DF" w:rsidP="000D0FB8">
      <w:pPr>
        <w:pStyle w:val="NormalWeb"/>
        <w:spacing w:before="0" w:beforeAutospacing="0" w:after="0" w:afterAutospacing="0"/>
        <w:jc w:val="both"/>
        <w:rPr>
          <w:rFonts w:asciiTheme="minorHAnsi" w:hAnsiTheme="minorHAnsi" w:cstheme="minorHAnsi"/>
          <w:color w:val="000000"/>
          <w:sz w:val="22"/>
          <w:szCs w:val="22"/>
        </w:rPr>
      </w:pPr>
      <w:r w:rsidRPr="00C75D5C">
        <w:rPr>
          <w:rFonts w:asciiTheme="minorHAnsi" w:hAnsiTheme="minorHAnsi" w:cstheme="minorHAnsi"/>
          <w:color w:val="000000"/>
          <w:sz w:val="22"/>
          <w:szCs w:val="22"/>
        </w:rPr>
        <w:t>For Aggregate Transmission Service Studies</w:t>
      </w:r>
      <w:r w:rsidR="000B038F" w:rsidRPr="00C75D5C">
        <w:rPr>
          <w:rFonts w:asciiTheme="minorHAnsi" w:hAnsiTheme="minorHAnsi" w:cstheme="minorHAnsi"/>
          <w:color w:val="000000"/>
          <w:sz w:val="22"/>
          <w:szCs w:val="22"/>
        </w:rPr>
        <w:t xml:space="preserve"> (ATSS)</w:t>
      </w:r>
      <w:r w:rsidRPr="00C75D5C">
        <w:rPr>
          <w:rFonts w:asciiTheme="minorHAnsi" w:hAnsiTheme="minorHAnsi" w:cstheme="minorHAnsi"/>
          <w:color w:val="000000"/>
          <w:sz w:val="22"/>
          <w:szCs w:val="22"/>
        </w:rPr>
        <w:t xml:space="preserve">, ILTCR analysis will be performed separately after ATSS is complete and DAUC is assigned. </w:t>
      </w:r>
    </w:p>
    <w:p w14:paraId="4BFDF364" w14:textId="77777777" w:rsidR="00B617DF" w:rsidRPr="00C75D5C" w:rsidRDefault="00B617DF" w:rsidP="000D0FB8">
      <w:pPr>
        <w:pStyle w:val="NormalWeb"/>
        <w:spacing w:before="0" w:beforeAutospacing="0" w:after="0" w:afterAutospacing="0"/>
        <w:jc w:val="both"/>
        <w:rPr>
          <w:rFonts w:asciiTheme="minorHAnsi" w:hAnsiTheme="minorHAnsi" w:cstheme="minorHAnsi"/>
          <w:color w:val="000000"/>
          <w:sz w:val="22"/>
          <w:szCs w:val="22"/>
        </w:rPr>
      </w:pPr>
      <w:r w:rsidRPr="00C75D5C">
        <w:rPr>
          <w:rFonts w:asciiTheme="minorHAnsi" w:hAnsiTheme="minorHAnsi" w:cstheme="minorHAnsi"/>
          <w:color w:val="000000"/>
          <w:sz w:val="22"/>
          <w:szCs w:val="22"/>
        </w:rPr>
        <w:t> </w:t>
      </w:r>
    </w:p>
    <w:p w14:paraId="686F26FB" w14:textId="2F23213B" w:rsidR="00B617DF" w:rsidRPr="00C75D5C" w:rsidRDefault="00B617DF" w:rsidP="003E398C">
      <w:pPr>
        <w:pStyle w:val="NormalWeb"/>
        <w:spacing w:before="0" w:beforeAutospacing="0" w:after="120" w:afterAutospacing="0"/>
        <w:jc w:val="both"/>
        <w:rPr>
          <w:rFonts w:asciiTheme="minorHAnsi" w:hAnsiTheme="minorHAnsi" w:cstheme="minorHAnsi"/>
          <w:sz w:val="22"/>
          <w:szCs w:val="22"/>
        </w:rPr>
      </w:pPr>
      <w:r w:rsidRPr="00C75D5C">
        <w:rPr>
          <w:rFonts w:asciiTheme="minorHAnsi" w:hAnsiTheme="minorHAnsi" w:cstheme="minorHAnsi"/>
          <w:sz w:val="22"/>
          <w:szCs w:val="22"/>
        </w:rPr>
        <w:t>For Sponsored Upgrades, ILTCR analysis is performed as part of the Sponsored Upgrade study</w:t>
      </w:r>
      <w:r w:rsidR="000B038F" w:rsidRPr="00C75D5C">
        <w:rPr>
          <w:rFonts w:asciiTheme="minorHAnsi" w:hAnsiTheme="minorHAnsi" w:cstheme="minorHAnsi"/>
          <w:vertAlign w:val="superscript"/>
        </w:rPr>
        <w:footnoteReference w:id="4"/>
      </w:r>
      <w:r w:rsidRPr="00C75D5C">
        <w:rPr>
          <w:rFonts w:asciiTheme="minorHAnsi" w:hAnsiTheme="minorHAnsi" w:cstheme="minorHAnsi"/>
          <w:sz w:val="22"/>
          <w:szCs w:val="22"/>
        </w:rPr>
        <w:t xml:space="preserve">. </w:t>
      </w:r>
    </w:p>
    <w:p w14:paraId="0B375B5B" w14:textId="77777777" w:rsidR="00405FEE" w:rsidRPr="00C75D5C" w:rsidRDefault="007E1A1E" w:rsidP="00C75D5C">
      <w:pPr>
        <w:pStyle w:val="NormalWeb"/>
        <w:spacing w:before="0" w:beforeAutospacing="0" w:after="0" w:afterAutospacing="0"/>
        <w:jc w:val="both"/>
        <w:rPr>
          <w:rFonts w:asciiTheme="minorHAnsi" w:hAnsiTheme="minorHAnsi" w:cstheme="minorHAnsi"/>
          <w:sz w:val="22"/>
          <w:szCs w:val="22"/>
        </w:rPr>
      </w:pPr>
    </w:p>
    <w:p w14:paraId="65B8624F" w14:textId="6E23B17C" w:rsidR="00C0165E" w:rsidRPr="00C75D5C" w:rsidRDefault="00286722" w:rsidP="00023FCC">
      <w:pPr>
        <w:pStyle w:val="NormalWeb"/>
        <w:spacing w:before="0" w:beforeAutospacing="0" w:after="120" w:afterAutospacing="0"/>
        <w:jc w:val="both"/>
        <w:rPr>
          <w:rFonts w:asciiTheme="minorHAnsi" w:hAnsiTheme="minorHAnsi" w:cstheme="minorHAnsi"/>
          <w:b/>
          <w:sz w:val="22"/>
          <w:szCs w:val="22"/>
        </w:rPr>
      </w:pPr>
      <w:r w:rsidRPr="00C75D5C">
        <w:rPr>
          <w:rFonts w:asciiTheme="minorHAnsi" w:hAnsiTheme="minorHAnsi" w:cstheme="minorHAnsi"/>
          <w:b/>
          <w:sz w:val="22"/>
          <w:szCs w:val="22"/>
        </w:rPr>
        <w:t xml:space="preserve">Q: </w:t>
      </w:r>
      <w:r w:rsidR="00C0165E" w:rsidRPr="00C75D5C">
        <w:rPr>
          <w:rFonts w:asciiTheme="minorHAnsi" w:hAnsiTheme="minorHAnsi" w:cstheme="minorHAnsi"/>
          <w:b/>
          <w:sz w:val="22"/>
          <w:szCs w:val="22"/>
        </w:rPr>
        <w:t>How is the quantity of ILTCR determined?</w:t>
      </w:r>
    </w:p>
    <w:p w14:paraId="3EF5A124" w14:textId="603464AD" w:rsidR="00C0165E" w:rsidRPr="00C75D5C" w:rsidRDefault="00286722" w:rsidP="003E398C">
      <w:pPr>
        <w:pStyle w:val="NormalWeb"/>
        <w:spacing w:before="0" w:beforeAutospacing="0" w:after="120" w:afterAutospacing="0"/>
        <w:jc w:val="both"/>
        <w:rPr>
          <w:rFonts w:asciiTheme="minorHAnsi" w:hAnsiTheme="minorHAnsi" w:cstheme="minorHAnsi"/>
          <w:sz w:val="22"/>
          <w:szCs w:val="22"/>
        </w:rPr>
      </w:pPr>
      <w:r w:rsidRPr="00C75D5C">
        <w:rPr>
          <w:rFonts w:asciiTheme="minorHAnsi" w:hAnsiTheme="minorHAnsi" w:cstheme="minorHAnsi"/>
          <w:sz w:val="22"/>
          <w:szCs w:val="22"/>
        </w:rPr>
        <w:t xml:space="preserve">A: </w:t>
      </w:r>
      <w:r w:rsidR="00C0165E" w:rsidRPr="00C75D5C">
        <w:rPr>
          <w:rFonts w:asciiTheme="minorHAnsi" w:hAnsiTheme="minorHAnsi" w:cstheme="minorHAnsi"/>
          <w:sz w:val="22"/>
          <w:szCs w:val="22"/>
        </w:rPr>
        <w:t>Customers</w:t>
      </w:r>
      <w:r w:rsidR="000D1E78" w:rsidRPr="00C75D5C">
        <w:rPr>
          <w:rFonts w:asciiTheme="minorHAnsi" w:hAnsiTheme="minorHAnsi" w:cstheme="minorHAnsi"/>
          <w:sz w:val="22"/>
          <w:szCs w:val="22"/>
        </w:rPr>
        <w:t xml:space="preserve"> </w:t>
      </w:r>
      <w:r w:rsidR="0010703E" w:rsidRPr="00C75D5C">
        <w:rPr>
          <w:rFonts w:asciiTheme="minorHAnsi" w:hAnsiTheme="minorHAnsi" w:cstheme="minorHAnsi"/>
          <w:sz w:val="22"/>
          <w:szCs w:val="22"/>
        </w:rPr>
        <w:t xml:space="preserve">shall </w:t>
      </w:r>
      <w:r w:rsidR="00C0165E" w:rsidRPr="00C75D5C">
        <w:rPr>
          <w:rFonts w:asciiTheme="minorHAnsi" w:hAnsiTheme="minorHAnsi" w:cstheme="minorHAnsi"/>
          <w:sz w:val="22"/>
          <w:szCs w:val="22"/>
        </w:rPr>
        <w:t xml:space="preserve">specify </w:t>
      </w:r>
      <w:r w:rsidR="0010703E" w:rsidRPr="00C75D5C">
        <w:rPr>
          <w:rFonts w:asciiTheme="minorHAnsi" w:hAnsiTheme="minorHAnsi" w:cstheme="minorHAnsi"/>
          <w:sz w:val="22"/>
          <w:szCs w:val="22"/>
        </w:rPr>
        <w:t xml:space="preserve">up to </w:t>
      </w:r>
      <w:r w:rsidR="00C0165E" w:rsidRPr="00C75D5C">
        <w:rPr>
          <w:rFonts w:asciiTheme="minorHAnsi" w:hAnsiTheme="minorHAnsi" w:cstheme="minorHAnsi"/>
          <w:sz w:val="22"/>
          <w:szCs w:val="22"/>
        </w:rPr>
        <w:t xml:space="preserve">3 </w:t>
      </w:r>
      <w:r w:rsidR="008C4FB0" w:rsidRPr="00C75D5C">
        <w:rPr>
          <w:rFonts w:asciiTheme="minorHAnsi" w:hAnsiTheme="minorHAnsi" w:cstheme="minorHAnsi"/>
          <w:sz w:val="22"/>
          <w:szCs w:val="22"/>
        </w:rPr>
        <w:t xml:space="preserve">source-to-sink </w:t>
      </w:r>
      <w:r w:rsidR="00C0165E" w:rsidRPr="00C75D5C">
        <w:rPr>
          <w:rFonts w:asciiTheme="minorHAnsi" w:hAnsiTheme="minorHAnsi" w:cstheme="minorHAnsi"/>
          <w:sz w:val="22"/>
          <w:szCs w:val="22"/>
        </w:rPr>
        <w:t>paths</w:t>
      </w:r>
      <w:r w:rsidR="00393764" w:rsidRPr="00C75D5C">
        <w:rPr>
          <w:rFonts w:asciiTheme="minorHAnsi" w:hAnsiTheme="minorHAnsi" w:cstheme="minorHAnsi"/>
          <w:vertAlign w:val="superscript"/>
        </w:rPr>
        <w:footnoteReference w:id="5"/>
      </w:r>
      <w:r w:rsidR="00393764" w:rsidRPr="00C75D5C">
        <w:rPr>
          <w:rFonts w:asciiTheme="minorHAnsi" w:hAnsiTheme="minorHAnsi" w:cstheme="minorHAnsi"/>
          <w:vertAlign w:val="superscript"/>
        </w:rPr>
        <w:footnoteReference w:id="6"/>
      </w:r>
      <w:r w:rsidR="00C0165E" w:rsidRPr="00C75D5C">
        <w:rPr>
          <w:rFonts w:asciiTheme="minorHAnsi" w:hAnsiTheme="minorHAnsi" w:cstheme="minorHAnsi"/>
          <w:sz w:val="22"/>
          <w:szCs w:val="22"/>
        </w:rPr>
        <w:t xml:space="preserve"> for ILTCR analysis prior to execution of applicable service agreements. ILTCR analysis is then performed and one path is cho</w:t>
      </w:r>
      <w:r w:rsidR="00CC6DB7" w:rsidRPr="00C75D5C">
        <w:rPr>
          <w:rFonts w:asciiTheme="minorHAnsi" w:hAnsiTheme="minorHAnsi" w:cstheme="minorHAnsi"/>
          <w:sz w:val="22"/>
          <w:szCs w:val="22"/>
        </w:rPr>
        <w:t xml:space="preserve">sen for MP to receive </w:t>
      </w:r>
      <w:proofErr w:type="spellStart"/>
      <w:r w:rsidR="00CC6DB7" w:rsidRPr="00C75D5C">
        <w:rPr>
          <w:rFonts w:asciiTheme="minorHAnsi" w:hAnsiTheme="minorHAnsi" w:cstheme="minorHAnsi"/>
          <w:sz w:val="22"/>
          <w:szCs w:val="22"/>
        </w:rPr>
        <w:t>c</w:t>
      </w:r>
      <w:r w:rsidR="00C0165E" w:rsidRPr="00C75D5C">
        <w:rPr>
          <w:rFonts w:asciiTheme="minorHAnsi" w:hAnsiTheme="minorHAnsi" w:cstheme="minorHAnsi"/>
          <w:sz w:val="22"/>
          <w:szCs w:val="22"/>
        </w:rPr>
        <w:t>ILTCRs</w:t>
      </w:r>
      <w:proofErr w:type="spellEnd"/>
      <w:r w:rsidR="00C0165E" w:rsidRPr="00C75D5C">
        <w:rPr>
          <w:rFonts w:asciiTheme="minorHAnsi" w:hAnsiTheme="minorHAnsi" w:cstheme="minorHAnsi"/>
          <w:sz w:val="22"/>
          <w:szCs w:val="22"/>
        </w:rPr>
        <w:t>.</w:t>
      </w:r>
    </w:p>
    <w:p w14:paraId="7033C6B4" w14:textId="77777777" w:rsidR="00C0165E" w:rsidRPr="00C75D5C" w:rsidRDefault="00C0165E" w:rsidP="00286722">
      <w:pPr>
        <w:pStyle w:val="NormalWeb"/>
        <w:spacing w:before="0" w:beforeAutospacing="0" w:after="0" w:afterAutospacing="0"/>
        <w:jc w:val="both"/>
        <w:rPr>
          <w:rFonts w:asciiTheme="minorHAnsi" w:hAnsiTheme="minorHAnsi" w:cstheme="minorHAnsi"/>
        </w:rPr>
      </w:pPr>
    </w:p>
    <w:p w14:paraId="2E754CB7" w14:textId="77777777" w:rsidR="00286722" w:rsidRPr="00C75D5C" w:rsidRDefault="00286722" w:rsidP="00023FCC">
      <w:pPr>
        <w:pStyle w:val="NormalWeb"/>
        <w:spacing w:before="0" w:beforeAutospacing="0" w:after="120" w:afterAutospacing="0"/>
        <w:jc w:val="both"/>
        <w:rPr>
          <w:rFonts w:asciiTheme="minorHAnsi" w:hAnsiTheme="minorHAnsi" w:cstheme="minorHAnsi"/>
          <w:b/>
          <w:sz w:val="22"/>
          <w:szCs w:val="22"/>
        </w:rPr>
      </w:pPr>
      <w:r w:rsidRPr="00C75D5C">
        <w:rPr>
          <w:rFonts w:asciiTheme="minorHAnsi" w:hAnsiTheme="minorHAnsi" w:cstheme="minorHAnsi"/>
          <w:b/>
          <w:sz w:val="22"/>
          <w:szCs w:val="22"/>
        </w:rPr>
        <w:t xml:space="preserve">Q: </w:t>
      </w:r>
      <w:r w:rsidR="00732ACF" w:rsidRPr="00C75D5C">
        <w:rPr>
          <w:rFonts w:asciiTheme="minorHAnsi" w:hAnsiTheme="minorHAnsi" w:cstheme="minorHAnsi"/>
          <w:b/>
          <w:sz w:val="22"/>
          <w:szCs w:val="22"/>
        </w:rPr>
        <w:t xml:space="preserve">What is the maximum capacity amount eligible for each path? </w:t>
      </w:r>
    </w:p>
    <w:p w14:paraId="732027CA" w14:textId="72A7E7D2" w:rsidR="00732ACF" w:rsidRPr="00C75D5C" w:rsidRDefault="00286722" w:rsidP="00C75D5C">
      <w:pPr>
        <w:pStyle w:val="NormalWeb"/>
        <w:spacing w:before="0" w:beforeAutospacing="0" w:after="120" w:afterAutospacing="0"/>
        <w:jc w:val="both"/>
        <w:rPr>
          <w:rFonts w:asciiTheme="minorHAnsi" w:hAnsiTheme="minorHAnsi" w:cstheme="minorHAnsi"/>
          <w:sz w:val="22"/>
          <w:szCs w:val="22"/>
        </w:rPr>
      </w:pPr>
      <w:r w:rsidRPr="00C75D5C">
        <w:rPr>
          <w:rFonts w:asciiTheme="minorHAnsi" w:hAnsiTheme="minorHAnsi" w:cstheme="minorHAnsi"/>
          <w:sz w:val="22"/>
          <w:szCs w:val="22"/>
        </w:rPr>
        <w:t xml:space="preserve">A: </w:t>
      </w:r>
      <w:r w:rsidR="00732ACF" w:rsidRPr="00C75D5C">
        <w:rPr>
          <w:rFonts w:asciiTheme="minorHAnsi" w:hAnsiTheme="minorHAnsi" w:cstheme="minorHAnsi"/>
          <w:sz w:val="22"/>
          <w:szCs w:val="22"/>
        </w:rPr>
        <w:t xml:space="preserve">The ILTCR study process will identify the </w:t>
      </w:r>
      <w:r w:rsidR="00B17769" w:rsidRPr="00C75D5C">
        <w:rPr>
          <w:rFonts w:asciiTheme="minorHAnsi" w:hAnsiTheme="minorHAnsi" w:cstheme="minorHAnsi"/>
          <w:sz w:val="22"/>
          <w:szCs w:val="22"/>
        </w:rPr>
        <w:t xml:space="preserve">incremental </w:t>
      </w:r>
      <w:r w:rsidR="00732ACF" w:rsidRPr="00C75D5C">
        <w:rPr>
          <w:rFonts w:asciiTheme="minorHAnsi" w:hAnsiTheme="minorHAnsi" w:cstheme="minorHAnsi"/>
          <w:sz w:val="22"/>
          <w:szCs w:val="22"/>
        </w:rPr>
        <w:t>ATC available for each path</w:t>
      </w:r>
      <w:r w:rsidR="00B17769" w:rsidRPr="00C75D5C">
        <w:rPr>
          <w:rFonts w:asciiTheme="minorHAnsi" w:hAnsiTheme="minorHAnsi" w:cstheme="minorHAnsi"/>
          <w:sz w:val="22"/>
          <w:szCs w:val="22"/>
        </w:rPr>
        <w:t xml:space="preserve"> as provided by the associated Network Upgrade</w:t>
      </w:r>
      <w:r w:rsidR="00732ACF" w:rsidRPr="00C75D5C">
        <w:rPr>
          <w:rFonts w:asciiTheme="minorHAnsi" w:hAnsiTheme="minorHAnsi" w:cstheme="minorHAnsi"/>
          <w:sz w:val="22"/>
          <w:szCs w:val="22"/>
        </w:rPr>
        <w:t xml:space="preserve">. The customer will not elect how </w:t>
      </w:r>
      <w:r w:rsidR="000553DB" w:rsidRPr="00C75D5C">
        <w:rPr>
          <w:rFonts w:asciiTheme="minorHAnsi" w:hAnsiTheme="minorHAnsi" w:cstheme="minorHAnsi"/>
          <w:sz w:val="22"/>
          <w:szCs w:val="22"/>
        </w:rPr>
        <w:t>many MWs they want on each path</w:t>
      </w:r>
      <w:r w:rsidR="00F84153" w:rsidRPr="00C75D5C">
        <w:rPr>
          <w:rFonts w:asciiTheme="minorHAnsi" w:hAnsiTheme="minorHAnsi" w:cstheme="minorHAnsi"/>
          <w:sz w:val="22"/>
          <w:szCs w:val="22"/>
          <w:vertAlign w:val="superscript"/>
        </w:rPr>
        <w:footnoteReference w:id="7"/>
      </w:r>
      <w:r w:rsidR="000553DB" w:rsidRPr="00C75D5C">
        <w:rPr>
          <w:rFonts w:asciiTheme="minorHAnsi" w:hAnsiTheme="minorHAnsi" w:cstheme="minorHAnsi"/>
          <w:sz w:val="22"/>
          <w:szCs w:val="22"/>
        </w:rPr>
        <w:t>.</w:t>
      </w:r>
      <w:r w:rsidR="00732ACF" w:rsidRPr="00C75D5C">
        <w:rPr>
          <w:rFonts w:asciiTheme="minorHAnsi" w:hAnsiTheme="minorHAnsi" w:cstheme="minorHAnsi"/>
          <w:sz w:val="22"/>
          <w:szCs w:val="22"/>
        </w:rPr>
        <w:t xml:space="preserve"> </w:t>
      </w:r>
    </w:p>
    <w:p w14:paraId="33A35C21" w14:textId="77777777" w:rsidR="00732ACF" w:rsidRPr="00C75D5C" w:rsidRDefault="00732ACF" w:rsidP="00C75D5C">
      <w:pPr>
        <w:pStyle w:val="NormalWeb"/>
        <w:spacing w:before="0" w:beforeAutospacing="0" w:after="0" w:afterAutospacing="0"/>
        <w:jc w:val="both"/>
        <w:rPr>
          <w:rFonts w:asciiTheme="minorHAnsi" w:hAnsiTheme="minorHAnsi" w:cstheme="minorHAnsi"/>
          <w:sz w:val="22"/>
          <w:szCs w:val="22"/>
        </w:rPr>
      </w:pPr>
    </w:p>
    <w:p w14:paraId="1D123F9F" w14:textId="7E538FEE" w:rsidR="00732ACF" w:rsidRPr="00C75D5C" w:rsidRDefault="00286722" w:rsidP="00023FCC">
      <w:pPr>
        <w:pStyle w:val="NormalWeb"/>
        <w:spacing w:before="0" w:beforeAutospacing="0" w:after="120" w:afterAutospacing="0"/>
        <w:jc w:val="both"/>
        <w:rPr>
          <w:rFonts w:asciiTheme="minorHAnsi" w:hAnsiTheme="minorHAnsi" w:cstheme="minorHAnsi"/>
          <w:b/>
          <w:sz w:val="22"/>
          <w:szCs w:val="22"/>
        </w:rPr>
      </w:pPr>
      <w:r w:rsidRPr="00C75D5C">
        <w:rPr>
          <w:rFonts w:asciiTheme="minorHAnsi" w:hAnsiTheme="minorHAnsi" w:cstheme="minorHAnsi"/>
          <w:b/>
          <w:sz w:val="22"/>
          <w:szCs w:val="22"/>
        </w:rPr>
        <w:t xml:space="preserve">Q: </w:t>
      </w:r>
      <w:r w:rsidR="00732ACF" w:rsidRPr="00C75D5C">
        <w:rPr>
          <w:rFonts w:asciiTheme="minorHAnsi" w:hAnsiTheme="minorHAnsi" w:cstheme="minorHAnsi"/>
          <w:b/>
          <w:sz w:val="22"/>
          <w:szCs w:val="22"/>
        </w:rPr>
        <w:t>How long is the ILTCR awarded</w:t>
      </w:r>
      <w:r w:rsidR="006E1353" w:rsidRPr="00C75D5C">
        <w:rPr>
          <w:rFonts w:asciiTheme="minorHAnsi" w:hAnsiTheme="minorHAnsi" w:cstheme="minorHAnsi"/>
          <w:b/>
          <w:sz w:val="22"/>
          <w:szCs w:val="22"/>
        </w:rPr>
        <w:t xml:space="preserve"> for</w:t>
      </w:r>
      <w:r w:rsidR="00732ACF" w:rsidRPr="00C75D5C">
        <w:rPr>
          <w:rFonts w:asciiTheme="minorHAnsi" w:hAnsiTheme="minorHAnsi" w:cstheme="minorHAnsi"/>
          <w:b/>
          <w:sz w:val="22"/>
          <w:szCs w:val="22"/>
        </w:rPr>
        <w:t>?</w:t>
      </w:r>
    </w:p>
    <w:p w14:paraId="7260FA22" w14:textId="23170F52" w:rsidR="00DA34FB" w:rsidRPr="00C75D5C" w:rsidRDefault="00286722" w:rsidP="00C75D5C">
      <w:pPr>
        <w:pStyle w:val="NormalWeb"/>
        <w:spacing w:before="0" w:beforeAutospacing="0" w:after="120" w:afterAutospacing="0"/>
        <w:jc w:val="both"/>
        <w:rPr>
          <w:rFonts w:asciiTheme="minorHAnsi" w:hAnsiTheme="minorHAnsi" w:cstheme="minorHAnsi"/>
          <w:sz w:val="22"/>
          <w:szCs w:val="22"/>
        </w:rPr>
      </w:pPr>
      <w:r w:rsidRPr="00C75D5C">
        <w:rPr>
          <w:rFonts w:asciiTheme="minorHAnsi" w:hAnsiTheme="minorHAnsi" w:cstheme="minorHAnsi"/>
          <w:sz w:val="22"/>
          <w:szCs w:val="22"/>
        </w:rPr>
        <w:t xml:space="preserve">A: </w:t>
      </w:r>
      <w:r w:rsidR="003C318B" w:rsidRPr="00C75D5C">
        <w:rPr>
          <w:rFonts w:asciiTheme="minorHAnsi" w:hAnsiTheme="minorHAnsi" w:cstheme="minorHAnsi"/>
          <w:sz w:val="22"/>
          <w:szCs w:val="22"/>
        </w:rPr>
        <w:t xml:space="preserve">Candidate </w:t>
      </w:r>
      <w:r w:rsidR="007819A1" w:rsidRPr="00C75D5C">
        <w:rPr>
          <w:rFonts w:asciiTheme="minorHAnsi" w:hAnsiTheme="minorHAnsi" w:cstheme="minorHAnsi"/>
          <w:sz w:val="22"/>
          <w:szCs w:val="22"/>
        </w:rPr>
        <w:t xml:space="preserve">ILTCR(s) </w:t>
      </w:r>
      <w:r w:rsidR="007A1757" w:rsidRPr="00C75D5C">
        <w:rPr>
          <w:rFonts w:asciiTheme="minorHAnsi" w:hAnsiTheme="minorHAnsi" w:cstheme="minorHAnsi"/>
          <w:sz w:val="22"/>
          <w:szCs w:val="22"/>
        </w:rPr>
        <w:t xml:space="preserve">are </w:t>
      </w:r>
      <w:r w:rsidR="007819A1" w:rsidRPr="00C75D5C">
        <w:rPr>
          <w:rFonts w:asciiTheme="minorHAnsi" w:hAnsiTheme="minorHAnsi" w:cstheme="minorHAnsi"/>
          <w:sz w:val="22"/>
          <w:szCs w:val="22"/>
        </w:rPr>
        <w:t>awarde</w:t>
      </w:r>
      <w:r w:rsidR="00887D00" w:rsidRPr="00C75D5C">
        <w:rPr>
          <w:rFonts w:asciiTheme="minorHAnsi" w:hAnsiTheme="minorHAnsi" w:cstheme="minorHAnsi"/>
          <w:sz w:val="22"/>
          <w:szCs w:val="22"/>
        </w:rPr>
        <w:t>d as specified in applicable service agreements, “and shall be at least ten years and not more than twenty years”</w:t>
      </w:r>
      <w:r w:rsidR="003B4458" w:rsidRPr="00C75D5C">
        <w:rPr>
          <w:rFonts w:asciiTheme="minorHAnsi" w:hAnsiTheme="minorHAnsi" w:cstheme="minorHAnsi"/>
          <w:sz w:val="22"/>
          <w:szCs w:val="22"/>
          <w:vertAlign w:val="superscript"/>
        </w:rPr>
        <w:footnoteReference w:id="8"/>
      </w:r>
      <w:r w:rsidR="00AB791E" w:rsidRPr="00C75D5C">
        <w:rPr>
          <w:rFonts w:asciiTheme="minorHAnsi" w:hAnsiTheme="minorHAnsi" w:cstheme="minorHAnsi"/>
          <w:sz w:val="22"/>
          <w:szCs w:val="22"/>
        </w:rPr>
        <w:t>.</w:t>
      </w:r>
      <w:r w:rsidR="00887D00" w:rsidRPr="00C75D5C">
        <w:rPr>
          <w:rFonts w:asciiTheme="minorHAnsi" w:hAnsiTheme="minorHAnsi" w:cstheme="minorHAnsi"/>
          <w:sz w:val="22"/>
          <w:szCs w:val="22"/>
        </w:rPr>
        <w:t xml:space="preserve"> </w:t>
      </w:r>
    </w:p>
    <w:p w14:paraId="7752E6EB" w14:textId="77777777" w:rsidR="007A1757" w:rsidRPr="00C75D5C" w:rsidRDefault="007A1757" w:rsidP="00C75D5C">
      <w:pPr>
        <w:pStyle w:val="NormalWeb"/>
        <w:spacing w:before="0" w:beforeAutospacing="0" w:after="0" w:afterAutospacing="0"/>
        <w:jc w:val="both"/>
        <w:rPr>
          <w:rFonts w:asciiTheme="minorHAnsi" w:hAnsiTheme="minorHAnsi" w:cstheme="minorHAnsi"/>
          <w:sz w:val="22"/>
          <w:szCs w:val="22"/>
        </w:rPr>
      </w:pPr>
    </w:p>
    <w:p w14:paraId="791CD960" w14:textId="24E52CF9" w:rsidR="007A1757" w:rsidRPr="00C75D5C" w:rsidRDefault="00286722" w:rsidP="00023FCC">
      <w:pPr>
        <w:pStyle w:val="NormalWeb"/>
        <w:spacing w:before="0" w:beforeAutospacing="0" w:after="120" w:afterAutospacing="0"/>
        <w:jc w:val="both"/>
        <w:rPr>
          <w:rFonts w:asciiTheme="minorHAnsi" w:hAnsiTheme="minorHAnsi" w:cstheme="minorHAnsi"/>
          <w:b/>
          <w:sz w:val="22"/>
          <w:szCs w:val="22"/>
        </w:rPr>
      </w:pPr>
      <w:r w:rsidRPr="00C75D5C">
        <w:rPr>
          <w:rFonts w:asciiTheme="minorHAnsi" w:hAnsiTheme="minorHAnsi" w:cstheme="minorHAnsi"/>
          <w:b/>
          <w:sz w:val="22"/>
          <w:szCs w:val="22"/>
        </w:rPr>
        <w:t xml:space="preserve">Q: </w:t>
      </w:r>
      <w:r w:rsidR="007A1757" w:rsidRPr="00C75D5C">
        <w:rPr>
          <w:rFonts w:asciiTheme="minorHAnsi" w:hAnsiTheme="minorHAnsi" w:cstheme="minorHAnsi"/>
          <w:b/>
          <w:sz w:val="22"/>
          <w:szCs w:val="22"/>
        </w:rPr>
        <w:t>How does an Eligible Entity begin the ILTCR process once awarded?</w:t>
      </w:r>
    </w:p>
    <w:p w14:paraId="35613A19" w14:textId="5A86FEBF" w:rsidR="00AB791E" w:rsidRPr="00C75D5C" w:rsidRDefault="00732ACF" w:rsidP="00C75D5C">
      <w:pPr>
        <w:pStyle w:val="NormalWeb"/>
        <w:spacing w:before="0" w:beforeAutospacing="0" w:after="120" w:afterAutospacing="0"/>
        <w:jc w:val="both"/>
        <w:rPr>
          <w:rFonts w:asciiTheme="minorHAnsi" w:hAnsiTheme="minorHAnsi" w:cstheme="minorHAnsi"/>
          <w:color w:val="000000"/>
          <w:sz w:val="22"/>
          <w:szCs w:val="22"/>
        </w:rPr>
      </w:pPr>
      <w:r w:rsidRPr="00C75D5C">
        <w:rPr>
          <w:rFonts w:asciiTheme="minorHAnsi" w:hAnsiTheme="minorHAnsi" w:cstheme="minorHAnsi"/>
          <w:color w:val="000000"/>
          <w:sz w:val="22"/>
          <w:szCs w:val="22"/>
        </w:rPr>
        <w:t xml:space="preserve">After the ILTCR study, the customer will </w:t>
      </w:r>
      <w:r w:rsidR="00B30414" w:rsidRPr="00C75D5C">
        <w:rPr>
          <w:rFonts w:asciiTheme="minorHAnsi" w:hAnsiTheme="minorHAnsi" w:cstheme="minorHAnsi"/>
          <w:color w:val="000000"/>
          <w:sz w:val="22"/>
          <w:szCs w:val="22"/>
        </w:rPr>
        <w:t>choose</w:t>
      </w:r>
      <w:r w:rsidRPr="00C75D5C">
        <w:rPr>
          <w:rFonts w:asciiTheme="minorHAnsi" w:hAnsiTheme="minorHAnsi" w:cstheme="minorHAnsi"/>
          <w:color w:val="000000"/>
          <w:sz w:val="22"/>
          <w:szCs w:val="22"/>
        </w:rPr>
        <w:t xml:space="preserve"> the path </w:t>
      </w:r>
      <w:r w:rsidR="00074C19" w:rsidRPr="00C75D5C">
        <w:rPr>
          <w:rFonts w:asciiTheme="minorHAnsi" w:hAnsiTheme="minorHAnsi" w:cstheme="minorHAnsi"/>
          <w:color w:val="000000"/>
          <w:sz w:val="22"/>
          <w:szCs w:val="22"/>
        </w:rPr>
        <w:t xml:space="preserve">for which </w:t>
      </w:r>
      <w:r w:rsidRPr="00C75D5C">
        <w:rPr>
          <w:rFonts w:asciiTheme="minorHAnsi" w:hAnsiTheme="minorHAnsi" w:cstheme="minorHAnsi"/>
          <w:color w:val="000000"/>
          <w:sz w:val="22"/>
          <w:szCs w:val="22"/>
        </w:rPr>
        <w:t xml:space="preserve">they </w:t>
      </w:r>
      <w:r w:rsidR="00B30414" w:rsidRPr="00C75D5C">
        <w:rPr>
          <w:rFonts w:asciiTheme="minorHAnsi" w:hAnsiTheme="minorHAnsi" w:cstheme="minorHAnsi"/>
          <w:color w:val="000000"/>
          <w:sz w:val="22"/>
          <w:szCs w:val="22"/>
        </w:rPr>
        <w:t>wish to receive ILTCR</w:t>
      </w:r>
      <w:r w:rsidRPr="00C75D5C">
        <w:rPr>
          <w:rFonts w:asciiTheme="minorHAnsi" w:hAnsiTheme="minorHAnsi" w:cstheme="minorHAnsi"/>
          <w:color w:val="000000"/>
          <w:sz w:val="22"/>
          <w:szCs w:val="22"/>
        </w:rPr>
        <w:t xml:space="preserve"> and </w:t>
      </w:r>
      <w:r w:rsidR="00B30414" w:rsidRPr="00C75D5C">
        <w:rPr>
          <w:rFonts w:asciiTheme="minorHAnsi" w:hAnsiTheme="minorHAnsi" w:cstheme="minorHAnsi"/>
          <w:color w:val="000000"/>
          <w:sz w:val="22"/>
          <w:szCs w:val="22"/>
        </w:rPr>
        <w:t>this data is included in applicable</w:t>
      </w:r>
      <w:r w:rsidRPr="00C75D5C">
        <w:rPr>
          <w:rFonts w:asciiTheme="minorHAnsi" w:hAnsiTheme="minorHAnsi" w:cstheme="minorHAnsi"/>
          <w:color w:val="000000"/>
          <w:sz w:val="22"/>
          <w:szCs w:val="22"/>
        </w:rPr>
        <w:t xml:space="preserve"> agreement</w:t>
      </w:r>
      <w:r w:rsidR="00B30414" w:rsidRPr="00C75D5C">
        <w:rPr>
          <w:rFonts w:asciiTheme="minorHAnsi" w:hAnsiTheme="minorHAnsi" w:cstheme="minorHAnsi"/>
          <w:color w:val="000000"/>
          <w:sz w:val="22"/>
          <w:szCs w:val="22"/>
        </w:rPr>
        <w:t>(s) and executed before filing</w:t>
      </w:r>
      <w:r w:rsidRPr="00C75D5C">
        <w:rPr>
          <w:rFonts w:asciiTheme="minorHAnsi" w:hAnsiTheme="minorHAnsi" w:cstheme="minorHAnsi"/>
          <w:color w:val="000000"/>
          <w:sz w:val="22"/>
          <w:szCs w:val="22"/>
        </w:rPr>
        <w:t xml:space="preserve"> with FERC</w:t>
      </w:r>
      <w:r w:rsidR="00B30414" w:rsidRPr="00C75D5C">
        <w:rPr>
          <w:rFonts w:asciiTheme="minorHAnsi" w:hAnsiTheme="minorHAnsi" w:cstheme="minorHAnsi"/>
          <w:color w:val="000000"/>
          <w:sz w:val="22"/>
          <w:szCs w:val="22"/>
        </w:rPr>
        <w:t>. T</w:t>
      </w:r>
      <w:r w:rsidRPr="00C75D5C">
        <w:rPr>
          <w:rFonts w:asciiTheme="minorHAnsi" w:hAnsiTheme="minorHAnsi" w:cstheme="minorHAnsi"/>
          <w:color w:val="000000"/>
          <w:sz w:val="22"/>
          <w:szCs w:val="22"/>
        </w:rPr>
        <w:t xml:space="preserve">he customer will notify SPP </w:t>
      </w:r>
      <w:r w:rsidR="00B30414" w:rsidRPr="00C75D5C">
        <w:rPr>
          <w:rFonts w:asciiTheme="minorHAnsi" w:hAnsiTheme="minorHAnsi" w:cstheme="minorHAnsi"/>
          <w:color w:val="000000"/>
          <w:sz w:val="22"/>
          <w:szCs w:val="22"/>
        </w:rPr>
        <w:t xml:space="preserve">45 days in advance of energization </w:t>
      </w:r>
      <w:r w:rsidRPr="00C75D5C">
        <w:rPr>
          <w:rFonts w:asciiTheme="minorHAnsi" w:hAnsiTheme="minorHAnsi" w:cstheme="minorHAnsi"/>
          <w:color w:val="000000"/>
          <w:sz w:val="22"/>
          <w:szCs w:val="22"/>
        </w:rPr>
        <w:t>via an RMS ticket</w:t>
      </w:r>
      <w:r w:rsidR="00F84153" w:rsidRPr="00C75D5C">
        <w:rPr>
          <w:rFonts w:asciiTheme="minorHAnsi" w:hAnsiTheme="minorHAnsi" w:cstheme="minorHAnsi"/>
          <w:color w:val="000000"/>
          <w:sz w:val="22"/>
          <w:szCs w:val="22"/>
        </w:rPr>
        <w:footnoteReference w:id="9"/>
      </w:r>
      <w:r w:rsidRPr="00C75D5C">
        <w:rPr>
          <w:rFonts w:asciiTheme="minorHAnsi" w:hAnsiTheme="minorHAnsi" w:cstheme="minorHAnsi"/>
          <w:color w:val="000000"/>
          <w:sz w:val="22"/>
          <w:szCs w:val="22"/>
        </w:rPr>
        <w:t xml:space="preserve">. Once the upgrade is energized, </w:t>
      </w:r>
      <w:r w:rsidR="00EC3A8C" w:rsidRPr="00C75D5C">
        <w:rPr>
          <w:rFonts w:asciiTheme="minorHAnsi" w:hAnsiTheme="minorHAnsi" w:cstheme="minorHAnsi"/>
          <w:color w:val="000000"/>
          <w:sz w:val="22"/>
          <w:szCs w:val="22"/>
        </w:rPr>
        <w:t xml:space="preserve">SPP </w:t>
      </w:r>
      <w:r w:rsidRPr="00C75D5C">
        <w:rPr>
          <w:rFonts w:asciiTheme="minorHAnsi" w:hAnsiTheme="minorHAnsi" w:cstheme="minorHAnsi"/>
          <w:color w:val="000000"/>
          <w:sz w:val="22"/>
          <w:szCs w:val="22"/>
        </w:rPr>
        <w:t xml:space="preserve">will make available TCR MWs for the </w:t>
      </w:r>
      <w:r w:rsidR="00914042" w:rsidRPr="00C75D5C">
        <w:rPr>
          <w:rFonts w:asciiTheme="minorHAnsi" w:hAnsiTheme="minorHAnsi" w:cstheme="minorHAnsi"/>
          <w:color w:val="000000"/>
          <w:sz w:val="22"/>
          <w:szCs w:val="22"/>
        </w:rPr>
        <w:t>c</w:t>
      </w:r>
      <w:r w:rsidRPr="00C75D5C">
        <w:rPr>
          <w:rFonts w:asciiTheme="minorHAnsi" w:hAnsiTheme="minorHAnsi" w:cstheme="minorHAnsi"/>
          <w:color w:val="000000"/>
          <w:sz w:val="22"/>
          <w:szCs w:val="22"/>
        </w:rPr>
        <w:t>andidate ILTCR until the end of that TCR year in the next feasible monthly TCR auction</w:t>
      </w:r>
      <w:r w:rsidR="003B4458" w:rsidRPr="00C75D5C">
        <w:rPr>
          <w:rFonts w:asciiTheme="minorHAnsi" w:hAnsiTheme="minorHAnsi" w:cstheme="minorHAnsi"/>
          <w:color w:val="000000"/>
          <w:sz w:val="22"/>
          <w:szCs w:val="22"/>
          <w:vertAlign w:val="superscript"/>
        </w:rPr>
        <w:footnoteReference w:id="10"/>
      </w:r>
      <w:r w:rsidR="009C12A5" w:rsidRPr="00C75D5C">
        <w:rPr>
          <w:rFonts w:asciiTheme="minorHAnsi" w:hAnsiTheme="minorHAnsi" w:cstheme="minorHAnsi"/>
          <w:color w:val="000000"/>
          <w:sz w:val="22"/>
          <w:szCs w:val="22"/>
        </w:rPr>
        <w:t>.</w:t>
      </w:r>
      <w:r w:rsidRPr="00C75D5C">
        <w:rPr>
          <w:rFonts w:asciiTheme="minorHAnsi" w:hAnsiTheme="minorHAnsi" w:cstheme="minorHAnsi"/>
          <w:color w:val="000000"/>
          <w:sz w:val="22"/>
          <w:szCs w:val="22"/>
        </w:rPr>
        <w:t xml:space="preserve"> </w:t>
      </w:r>
    </w:p>
    <w:p w14:paraId="05CCC80C" w14:textId="77777777" w:rsidR="00286722" w:rsidRPr="00C75D5C" w:rsidRDefault="00286722" w:rsidP="00286722">
      <w:pPr>
        <w:pStyle w:val="NormalWeb"/>
        <w:spacing w:before="0" w:beforeAutospacing="0" w:after="0" w:afterAutospacing="0"/>
        <w:jc w:val="both"/>
        <w:rPr>
          <w:rFonts w:asciiTheme="minorHAnsi" w:hAnsiTheme="minorHAnsi" w:cstheme="minorHAnsi"/>
          <w:b/>
          <w:color w:val="000000"/>
          <w:sz w:val="22"/>
          <w:szCs w:val="22"/>
        </w:rPr>
      </w:pPr>
    </w:p>
    <w:p w14:paraId="5ED23420" w14:textId="1FC28DF6" w:rsidR="000D1E78" w:rsidRPr="00C75D5C" w:rsidRDefault="00286722" w:rsidP="00023FCC">
      <w:pPr>
        <w:pStyle w:val="NormalWeb"/>
        <w:spacing w:before="0" w:beforeAutospacing="0" w:after="120" w:afterAutospacing="0"/>
        <w:jc w:val="both"/>
        <w:rPr>
          <w:rFonts w:asciiTheme="minorHAnsi" w:hAnsiTheme="minorHAnsi" w:cstheme="minorHAnsi"/>
          <w:b/>
          <w:sz w:val="22"/>
          <w:szCs w:val="22"/>
        </w:rPr>
      </w:pPr>
      <w:r w:rsidRPr="00C75D5C">
        <w:rPr>
          <w:rFonts w:asciiTheme="minorHAnsi" w:hAnsiTheme="minorHAnsi" w:cstheme="minorHAnsi"/>
          <w:b/>
          <w:sz w:val="22"/>
          <w:szCs w:val="22"/>
        </w:rPr>
        <w:t xml:space="preserve">Q: </w:t>
      </w:r>
      <w:r w:rsidR="000D1E78" w:rsidRPr="00C75D5C">
        <w:rPr>
          <w:rFonts w:asciiTheme="minorHAnsi" w:hAnsiTheme="minorHAnsi" w:cstheme="minorHAnsi"/>
          <w:b/>
          <w:sz w:val="22"/>
          <w:szCs w:val="22"/>
        </w:rPr>
        <w:t xml:space="preserve">How is the amount ILTCR determined? Is that amount completely independent of the </w:t>
      </w:r>
      <w:r w:rsidR="00B730FA" w:rsidRPr="00C75D5C">
        <w:rPr>
          <w:rFonts w:asciiTheme="minorHAnsi" w:hAnsiTheme="minorHAnsi" w:cstheme="minorHAnsi"/>
          <w:b/>
          <w:sz w:val="22"/>
          <w:szCs w:val="22"/>
        </w:rPr>
        <w:t>G</w:t>
      </w:r>
      <w:r w:rsidR="00B17769" w:rsidRPr="00C75D5C">
        <w:rPr>
          <w:rFonts w:asciiTheme="minorHAnsi" w:hAnsiTheme="minorHAnsi" w:cstheme="minorHAnsi"/>
          <w:b/>
          <w:sz w:val="22"/>
          <w:szCs w:val="22"/>
        </w:rPr>
        <w:t xml:space="preserve">enerator </w:t>
      </w:r>
      <w:r w:rsidR="00B730FA" w:rsidRPr="00C75D5C">
        <w:rPr>
          <w:rFonts w:asciiTheme="minorHAnsi" w:hAnsiTheme="minorHAnsi" w:cstheme="minorHAnsi"/>
          <w:b/>
          <w:sz w:val="22"/>
          <w:szCs w:val="22"/>
        </w:rPr>
        <w:t>I</w:t>
      </w:r>
      <w:r w:rsidR="00B17769" w:rsidRPr="00C75D5C">
        <w:rPr>
          <w:rFonts w:asciiTheme="minorHAnsi" w:hAnsiTheme="minorHAnsi" w:cstheme="minorHAnsi"/>
          <w:b/>
          <w:sz w:val="22"/>
          <w:szCs w:val="22"/>
        </w:rPr>
        <w:t xml:space="preserve">nterconnection </w:t>
      </w:r>
      <w:r w:rsidR="00B730FA" w:rsidRPr="00C75D5C">
        <w:rPr>
          <w:rFonts w:asciiTheme="minorHAnsi" w:hAnsiTheme="minorHAnsi" w:cstheme="minorHAnsi"/>
          <w:b/>
          <w:sz w:val="22"/>
          <w:szCs w:val="22"/>
        </w:rPr>
        <w:t xml:space="preserve">or Transmission Service </w:t>
      </w:r>
      <w:r w:rsidR="000D1E78" w:rsidRPr="00C75D5C">
        <w:rPr>
          <w:rFonts w:asciiTheme="minorHAnsi" w:hAnsiTheme="minorHAnsi" w:cstheme="minorHAnsi"/>
          <w:b/>
          <w:sz w:val="22"/>
          <w:szCs w:val="22"/>
        </w:rPr>
        <w:t xml:space="preserve">request and only driven by ATC on a path? </w:t>
      </w:r>
    </w:p>
    <w:p w14:paraId="6E91582F" w14:textId="1EBE67F4" w:rsidR="00AB791E" w:rsidRPr="00C75D5C" w:rsidRDefault="00286722" w:rsidP="00C75D5C">
      <w:pPr>
        <w:pStyle w:val="NormalWeb"/>
        <w:spacing w:before="0" w:beforeAutospacing="0" w:after="120" w:afterAutospacing="0"/>
        <w:jc w:val="both"/>
        <w:rPr>
          <w:rFonts w:asciiTheme="minorHAnsi" w:hAnsiTheme="minorHAnsi" w:cstheme="minorHAnsi"/>
          <w:color w:val="000000"/>
          <w:sz w:val="22"/>
          <w:szCs w:val="22"/>
        </w:rPr>
      </w:pPr>
      <w:r w:rsidRPr="00C75D5C">
        <w:rPr>
          <w:rFonts w:asciiTheme="minorHAnsi" w:hAnsiTheme="minorHAnsi" w:cstheme="minorHAnsi"/>
          <w:color w:val="000000"/>
          <w:sz w:val="22"/>
          <w:szCs w:val="22"/>
        </w:rPr>
        <w:t xml:space="preserve">A: </w:t>
      </w:r>
      <w:r w:rsidR="003B4458" w:rsidRPr="00C75D5C">
        <w:rPr>
          <w:rFonts w:asciiTheme="minorHAnsi" w:hAnsiTheme="minorHAnsi" w:cstheme="minorHAnsi"/>
          <w:color w:val="000000"/>
          <w:sz w:val="22"/>
          <w:szCs w:val="22"/>
        </w:rPr>
        <w:t>The amount of the ILTCR is</w:t>
      </w:r>
      <w:r w:rsidR="000D1E78" w:rsidRPr="00C75D5C">
        <w:rPr>
          <w:rFonts w:asciiTheme="minorHAnsi" w:hAnsiTheme="minorHAnsi" w:cstheme="minorHAnsi"/>
          <w:color w:val="000000"/>
          <w:sz w:val="22"/>
          <w:szCs w:val="22"/>
        </w:rPr>
        <w:t xml:space="preserve"> driven by the </w:t>
      </w:r>
      <w:r w:rsidR="00B17769" w:rsidRPr="00C75D5C">
        <w:rPr>
          <w:rFonts w:asciiTheme="minorHAnsi" w:hAnsiTheme="minorHAnsi" w:cstheme="minorHAnsi"/>
          <w:color w:val="000000"/>
          <w:sz w:val="22"/>
          <w:szCs w:val="22"/>
        </w:rPr>
        <w:t xml:space="preserve">incremental </w:t>
      </w:r>
      <w:r w:rsidR="000D1E78" w:rsidRPr="00C75D5C">
        <w:rPr>
          <w:rFonts w:asciiTheme="minorHAnsi" w:hAnsiTheme="minorHAnsi" w:cstheme="minorHAnsi"/>
          <w:color w:val="000000"/>
          <w:sz w:val="22"/>
          <w:szCs w:val="22"/>
        </w:rPr>
        <w:t xml:space="preserve">ATC amount </w:t>
      </w:r>
      <w:r w:rsidR="00B17769" w:rsidRPr="00C75D5C">
        <w:rPr>
          <w:rFonts w:asciiTheme="minorHAnsi" w:hAnsiTheme="minorHAnsi" w:cstheme="minorHAnsi"/>
          <w:color w:val="000000"/>
          <w:sz w:val="22"/>
          <w:szCs w:val="22"/>
        </w:rPr>
        <w:t>a Network Upgrade provides the system</w:t>
      </w:r>
      <w:r w:rsidR="002400AE" w:rsidRPr="00C75D5C">
        <w:rPr>
          <w:rFonts w:asciiTheme="minorHAnsi" w:hAnsiTheme="minorHAnsi" w:cstheme="minorHAnsi"/>
          <w:color w:val="000000"/>
          <w:sz w:val="22"/>
          <w:szCs w:val="22"/>
        </w:rPr>
        <w:t>,</w:t>
      </w:r>
      <w:r w:rsidR="00B17769" w:rsidRPr="00C75D5C">
        <w:rPr>
          <w:rFonts w:asciiTheme="minorHAnsi" w:hAnsiTheme="minorHAnsi" w:cstheme="minorHAnsi"/>
          <w:color w:val="000000"/>
          <w:sz w:val="22"/>
          <w:szCs w:val="22"/>
        </w:rPr>
        <w:t xml:space="preserve"> as </w:t>
      </w:r>
      <w:r w:rsidR="000D1E78" w:rsidRPr="00C75D5C">
        <w:rPr>
          <w:rFonts w:asciiTheme="minorHAnsi" w:hAnsiTheme="minorHAnsi" w:cstheme="minorHAnsi"/>
          <w:color w:val="000000"/>
          <w:sz w:val="22"/>
          <w:szCs w:val="22"/>
        </w:rPr>
        <w:t xml:space="preserve">determined </w:t>
      </w:r>
      <w:r w:rsidR="00B17769" w:rsidRPr="00C75D5C">
        <w:rPr>
          <w:rFonts w:asciiTheme="minorHAnsi" w:hAnsiTheme="minorHAnsi" w:cstheme="minorHAnsi"/>
          <w:color w:val="000000"/>
          <w:sz w:val="22"/>
          <w:szCs w:val="22"/>
        </w:rPr>
        <w:t>using the customer specified source-to-sink paths for the associated Network Upgrade</w:t>
      </w:r>
      <w:r w:rsidR="006D46C2" w:rsidRPr="00C75D5C">
        <w:rPr>
          <w:rFonts w:asciiTheme="minorHAnsi" w:hAnsiTheme="minorHAnsi" w:cstheme="minorHAnsi"/>
          <w:color w:val="000000"/>
          <w:sz w:val="22"/>
          <w:szCs w:val="22"/>
        </w:rPr>
        <w:t xml:space="preserve"> </w:t>
      </w:r>
      <w:r w:rsidR="00B17769" w:rsidRPr="00C75D5C">
        <w:rPr>
          <w:rFonts w:asciiTheme="minorHAnsi" w:hAnsiTheme="minorHAnsi" w:cstheme="minorHAnsi"/>
          <w:color w:val="000000"/>
          <w:sz w:val="22"/>
          <w:szCs w:val="22"/>
        </w:rPr>
        <w:t xml:space="preserve">in </w:t>
      </w:r>
      <w:r w:rsidR="000D1E78" w:rsidRPr="00C75D5C">
        <w:rPr>
          <w:rFonts w:asciiTheme="minorHAnsi" w:hAnsiTheme="minorHAnsi" w:cstheme="minorHAnsi"/>
          <w:color w:val="000000"/>
          <w:sz w:val="22"/>
          <w:szCs w:val="22"/>
        </w:rPr>
        <w:t xml:space="preserve">the ILTCR study. </w:t>
      </w:r>
      <w:r w:rsidR="003B4458" w:rsidRPr="00C75D5C">
        <w:rPr>
          <w:rFonts w:asciiTheme="minorHAnsi" w:hAnsiTheme="minorHAnsi" w:cstheme="minorHAnsi"/>
          <w:color w:val="000000"/>
          <w:sz w:val="22"/>
          <w:szCs w:val="22"/>
        </w:rPr>
        <w:t>The MW amount is completely independent of the Generator Interconnection or Transmission Service request that is being studied.</w:t>
      </w:r>
    </w:p>
    <w:p w14:paraId="09A6CF30" w14:textId="77777777" w:rsidR="00286722" w:rsidRPr="00C75D5C" w:rsidRDefault="00286722" w:rsidP="00286722">
      <w:pPr>
        <w:pStyle w:val="NormalWeb"/>
        <w:spacing w:before="0" w:beforeAutospacing="0" w:after="0" w:afterAutospacing="0"/>
        <w:jc w:val="both"/>
        <w:rPr>
          <w:rFonts w:asciiTheme="minorHAnsi" w:hAnsiTheme="minorHAnsi" w:cstheme="minorHAnsi"/>
          <w:color w:val="000000"/>
          <w:sz w:val="22"/>
          <w:szCs w:val="22"/>
        </w:rPr>
      </w:pPr>
    </w:p>
    <w:p w14:paraId="5E8B5116" w14:textId="6FFD3BB2" w:rsidR="009D0CAE" w:rsidRPr="00C75D5C" w:rsidRDefault="00286722" w:rsidP="00023FCC">
      <w:pPr>
        <w:pStyle w:val="NormalWeb"/>
        <w:spacing w:before="0" w:beforeAutospacing="0" w:after="120" w:afterAutospacing="0"/>
        <w:jc w:val="both"/>
        <w:rPr>
          <w:rFonts w:asciiTheme="minorHAnsi" w:hAnsiTheme="minorHAnsi" w:cstheme="minorHAnsi"/>
          <w:b/>
          <w:sz w:val="22"/>
          <w:szCs w:val="22"/>
        </w:rPr>
      </w:pPr>
      <w:r w:rsidRPr="00C75D5C">
        <w:rPr>
          <w:rFonts w:asciiTheme="minorHAnsi" w:hAnsiTheme="minorHAnsi" w:cstheme="minorHAnsi"/>
          <w:b/>
          <w:sz w:val="22"/>
          <w:szCs w:val="22"/>
        </w:rPr>
        <w:t xml:space="preserve">Q: </w:t>
      </w:r>
      <w:r w:rsidR="009D0CAE" w:rsidRPr="00C75D5C">
        <w:rPr>
          <w:rFonts w:asciiTheme="minorHAnsi" w:hAnsiTheme="minorHAnsi" w:cstheme="minorHAnsi"/>
          <w:b/>
          <w:sz w:val="22"/>
          <w:szCs w:val="22"/>
        </w:rPr>
        <w:t>How will the study determine incremental capacity amounts for multiple customers that select different paths?</w:t>
      </w:r>
    </w:p>
    <w:p w14:paraId="7DFBFC08" w14:textId="582C2F79" w:rsidR="003B4458" w:rsidRPr="00C75D5C" w:rsidRDefault="00286722" w:rsidP="000D0FB8">
      <w:pPr>
        <w:jc w:val="both"/>
        <w:rPr>
          <w:rFonts w:cstheme="minorHAnsi"/>
          <w:bCs/>
        </w:rPr>
      </w:pPr>
      <w:r w:rsidRPr="00C75D5C">
        <w:rPr>
          <w:rFonts w:cstheme="minorHAnsi"/>
          <w:bCs/>
        </w:rPr>
        <w:t xml:space="preserve">A: </w:t>
      </w:r>
      <w:r w:rsidR="00696C54" w:rsidRPr="00C75D5C">
        <w:rPr>
          <w:rFonts w:cstheme="minorHAnsi"/>
          <w:bCs/>
        </w:rPr>
        <w:t xml:space="preserve">Per Attachment Z2, Section </w:t>
      </w:r>
      <w:proofErr w:type="gramStart"/>
      <w:r w:rsidR="00696C54" w:rsidRPr="00C75D5C">
        <w:rPr>
          <w:rFonts w:cstheme="minorHAnsi"/>
          <w:bCs/>
        </w:rPr>
        <w:t>IV</w:t>
      </w:r>
      <w:r w:rsidR="003B4458" w:rsidRPr="00C75D5C">
        <w:rPr>
          <w:rFonts w:cstheme="minorHAnsi"/>
          <w:bCs/>
        </w:rPr>
        <w:t>(</w:t>
      </w:r>
      <w:proofErr w:type="gramEnd"/>
      <w:r w:rsidR="00696C54" w:rsidRPr="00C75D5C">
        <w:rPr>
          <w:rFonts w:cstheme="minorHAnsi"/>
          <w:bCs/>
        </w:rPr>
        <w:t>B</w:t>
      </w:r>
      <w:r w:rsidR="003B4458" w:rsidRPr="00C75D5C">
        <w:rPr>
          <w:rFonts w:cstheme="minorHAnsi"/>
          <w:bCs/>
        </w:rPr>
        <w:t>):</w:t>
      </w:r>
      <w:r w:rsidR="00696C54" w:rsidRPr="00C75D5C">
        <w:rPr>
          <w:rFonts w:cstheme="minorHAnsi"/>
          <w:bCs/>
        </w:rPr>
        <w:t xml:space="preserve"> </w:t>
      </w:r>
    </w:p>
    <w:p w14:paraId="1EFA9A9D" w14:textId="1CE7A6F0" w:rsidR="009D0CAE" w:rsidRPr="00C75D5C" w:rsidRDefault="009D0CAE" w:rsidP="000D0FB8">
      <w:pPr>
        <w:spacing w:line="240" w:lineRule="auto"/>
        <w:ind w:left="720" w:right="720"/>
        <w:jc w:val="both"/>
        <w:rPr>
          <w:rFonts w:cstheme="minorHAnsi"/>
          <w:bCs/>
        </w:rPr>
      </w:pPr>
      <w:r w:rsidRPr="00C75D5C">
        <w:rPr>
          <w:rFonts w:cstheme="minorHAnsi"/>
          <w:bCs/>
        </w:rPr>
        <w:t xml:space="preserve">When one or more Transmission Customers request to receive candidate ILTCRs for a Service Upgrade which was funded in whole or in part through Directly Assigned Upgrade Costs, the Transmission Provider will allocate the available candidate ILTCRs to each Transmission Customer in the same proportion as each Transmission Customer’s pro-rata share of the total cost of the upgrade allocated in accordance with Section IV of Attachment Z1 of this Tariff. </w:t>
      </w:r>
    </w:p>
    <w:p w14:paraId="74EF96B5" w14:textId="4EE2FCFC" w:rsidR="002423F3" w:rsidRPr="00C75D5C" w:rsidRDefault="009D0CAE" w:rsidP="000D0FB8">
      <w:pPr>
        <w:spacing w:line="240" w:lineRule="auto"/>
        <w:ind w:left="720" w:right="720"/>
        <w:jc w:val="both"/>
        <w:rPr>
          <w:rFonts w:cstheme="minorHAnsi"/>
          <w:bCs/>
        </w:rPr>
      </w:pPr>
      <w:r w:rsidRPr="00C75D5C">
        <w:rPr>
          <w:rFonts w:cstheme="minorHAnsi"/>
          <w:bCs/>
        </w:rPr>
        <w:t>If multiple Transmission Customers fund a Service Upgrade through Directly Assigned Upgrade Costs, each Transmission Customer may choose a different source-to-sink path for the candidate ILTCR and each Transmission Customer’s candidate ILTCR allocation will be in proportion t</w:t>
      </w:r>
      <w:r w:rsidR="003B4458" w:rsidRPr="00C75D5C">
        <w:rPr>
          <w:rFonts w:cstheme="minorHAnsi"/>
          <w:bCs/>
        </w:rPr>
        <w:t>o the total cost of the upgrade</w:t>
      </w:r>
      <w:r w:rsidR="002423F3" w:rsidRPr="00C75D5C">
        <w:rPr>
          <w:rFonts w:cstheme="minorHAnsi"/>
          <w:bCs/>
        </w:rPr>
        <w:t>.</w:t>
      </w:r>
    </w:p>
    <w:p w14:paraId="361902A3" w14:textId="2A7149C6" w:rsidR="0096789D" w:rsidRPr="00C75D5C" w:rsidRDefault="00696C54" w:rsidP="000D0FB8">
      <w:pPr>
        <w:spacing w:after="0"/>
        <w:jc w:val="both"/>
        <w:rPr>
          <w:rFonts w:cstheme="minorHAnsi"/>
          <w:bCs/>
        </w:rPr>
      </w:pPr>
      <w:r w:rsidRPr="00C75D5C">
        <w:rPr>
          <w:rFonts w:cstheme="minorHAnsi"/>
          <w:bCs/>
        </w:rPr>
        <w:t>Example:</w:t>
      </w:r>
    </w:p>
    <w:p w14:paraId="49AA3323" w14:textId="085362B8" w:rsidR="00696C54" w:rsidRPr="00C75D5C" w:rsidRDefault="00EA548A" w:rsidP="000D0FB8">
      <w:pPr>
        <w:spacing w:after="0"/>
        <w:jc w:val="both"/>
        <w:rPr>
          <w:rFonts w:cstheme="minorHAnsi"/>
          <w:bCs/>
        </w:rPr>
      </w:pPr>
      <w:r w:rsidRPr="00C75D5C">
        <w:rPr>
          <w:rFonts w:cstheme="minorHAnsi"/>
          <w:bCs/>
        </w:rPr>
        <w:t xml:space="preserve">An </w:t>
      </w:r>
      <w:r w:rsidR="00696C54" w:rsidRPr="00C75D5C">
        <w:rPr>
          <w:rFonts w:cstheme="minorHAnsi"/>
          <w:bCs/>
        </w:rPr>
        <w:t xml:space="preserve">upgrade is 50% funded by Based Plan Funding (BPF) and 50% </w:t>
      </w:r>
      <w:r w:rsidR="00E851C2" w:rsidRPr="00C75D5C">
        <w:rPr>
          <w:rFonts w:cstheme="minorHAnsi"/>
          <w:bCs/>
        </w:rPr>
        <w:t>funded by</w:t>
      </w:r>
      <w:r w:rsidR="00696C54" w:rsidRPr="00C75D5C">
        <w:rPr>
          <w:rFonts w:cstheme="minorHAnsi"/>
          <w:bCs/>
        </w:rPr>
        <w:t xml:space="preserve"> DAUC</w:t>
      </w:r>
    </w:p>
    <w:p w14:paraId="6ED4A9A7" w14:textId="02137E1A" w:rsidR="00696C54" w:rsidRPr="00C75D5C" w:rsidRDefault="00696C54" w:rsidP="000D0FB8">
      <w:pPr>
        <w:spacing w:after="0"/>
        <w:jc w:val="both"/>
        <w:rPr>
          <w:rFonts w:cstheme="minorHAnsi"/>
          <w:bCs/>
        </w:rPr>
      </w:pPr>
      <w:r w:rsidRPr="00C75D5C">
        <w:rPr>
          <w:rFonts w:cstheme="minorHAnsi"/>
          <w:bCs/>
        </w:rPr>
        <w:t xml:space="preserve">Customer A is identified to be responsible for 20% of total cost </w:t>
      </w:r>
    </w:p>
    <w:p w14:paraId="1EC72FCF" w14:textId="7DA26315" w:rsidR="002423F3" w:rsidRPr="00C75D5C" w:rsidRDefault="00696C54" w:rsidP="000D0FB8">
      <w:pPr>
        <w:spacing w:after="0"/>
        <w:jc w:val="both"/>
        <w:rPr>
          <w:rFonts w:cstheme="minorHAnsi"/>
          <w:bCs/>
        </w:rPr>
      </w:pPr>
      <w:r w:rsidRPr="00C75D5C">
        <w:rPr>
          <w:rFonts w:cstheme="minorHAnsi"/>
          <w:bCs/>
        </w:rPr>
        <w:t xml:space="preserve">Customer B is identified to be responsible for </w:t>
      </w:r>
      <w:r w:rsidR="002423F3" w:rsidRPr="00C75D5C">
        <w:rPr>
          <w:rFonts w:cstheme="minorHAnsi"/>
          <w:bCs/>
        </w:rPr>
        <w:t xml:space="preserve">30% </w:t>
      </w:r>
      <w:r w:rsidRPr="00C75D5C">
        <w:rPr>
          <w:rFonts w:cstheme="minorHAnsi"/>
          <w:bCs/>
        </w:rPr>
        <w:t>of total cost</w:t>
      </w:r>
      <w:r w:rsidR="002423F3" w:rsidRPr="00C75D5C">
        <w:rPr>
          <w:rFonts w:cstheme="minorHAnsi"/>
          <w:bCs/>
        </w:rPr>
        <w:t xml:space="preserve"> </w:t>
      </w:r>
    </w:p>
    <w:p w14:paraId="39C57A01" w14:textId="77777777" w:rsidR="00696C54" w:rsidRPr="00C75D5C" w:rsidRDefault="00696C54" w:rsidP="000D0FB8">
      <w:pPr>
        <w:spacing w:after="0"/>
        <w:jc w:val="both"/>
        <w:rPr>
          <w:rFonts w:cstheme="minorHAnsi"/>
          <w:bCs/>
        </w:rPr>
      </w:pPr>
    </w:p>
    <w:p w14:paraId="33201FE0" w14:textId="30D852A3" w:rsidR="002423F3" w:rsidRPr="00C75D5C" w:rsidRDefault="002423F3" w:rsidP="000D0FB8">
      <w:pPr>
        <w:spacing w:after="0"/>
        <w:jc w:val="both"/>
        <w:rPr>
          <w:rFonts w:cstheme="minorHAnsi"/>
          <w:bCs/>
        </w:rPr>
      </w:pPr>
      <w:r w:rsidRPr="00C75D5C">
        <w:rPr>
          <w:rFonts w:cstheme="minorHAnsi"/>
          <w:bCs/>
        </w:rPr>
        <w:t>Cust</w:t>
      </w:r>
      <w:r w:rsidR="0096789D" w:rsidRPr="00C75D5C">
        <w:rPr>
          <w:rFonts w:cstheme="minorHAnsi"/>
          <w:bCs/>
        </w:rPr>
        <w:t>omer</w:t>
      </w:r>
      <w:r w:rsidRPr="00C75D5C">
        <w:rPr>
          <w:rFonts w:cstheme="minorHAnsi"/>
          <w:bCs/>
        </w:rPr>
        <w:t xml:space="preserve"> A’s chosen path open</w:t>
      </w:r>
      <w:r w:rsidR="00B17769" w:rsidRPr="00C75D5C">
        <w:rPr>
          <w:rFonts w:cstheme="minorHAnsi"/>
          <w:bCs/>
        </w:rPr>
        <w:t>s</w:t>
      </w:r>
      <w:r w:rsidR="0096789D" w:rsidRPr="00C75D5C">
        <w:rPr>
          <w:rFonts w:cstheme="minorHAnsi"/>
          <w:bCs/>
        </w:rPr>
        <w:t xml:space="preserve"> up 80 MW of additional</w:t>
      </w:r>
      <w:r w:rsidRPr="00C75D5C">
        <w:rPr>
          <w:rFonts w:cstheme="minorHAnsi"/>
          <w:bCs/>
        </w:rPr>
        <w:t xml:space="preserve"> ATC</w:t>
      </w:r>
    </w:p>
    <w:p w14:paraId="4DB8FF97" w14:textId="64B5C1B4" w:rsidR="002423F3" w:rsidRPr="00C75D5C" w:rsidRDefault="002423F3" w:rsidP="000D0FB8">
      <w:pPr>
        <w:spacing w:after="0"/>
        <w:jc w:val="both"/>
        <w:rPr>
          <w:rFonts w:cstheme="minorHAnsi"/>
          <w:bCs/>
        </w:rPr>
      </w:pPr>
      <w:r w:rsidRPr="00C75D5C">
        <w:rPr>
          <w:rFonts w:cstheme="minorHAnsi"/>
          <w:bCs/>
        </w:rPr>
        <w:t>Cust</w:t>
      </w:r>
      <w:r w:rsidR="0096789D" w:rsidRPr="00C75D5C">
        <w:rPr>
          <w:rFonts w:cstheme="minorHAnsi"/>
          <w:bCs/>
        </w:rPr>
        <w:t>omer</w:t>
      </w:r>
      <w:r w:rsidRPr="00C75D5C">
        <w:rPr>
          <w:rFonts w:cstheme="minorHAnsi"/>
          <w:bCs/>
        </w:rPr>
        <w:t xml:space="preserve"> A is entitled to 20% * 80 MW = 16 MW which is then</w:t>
      </w:r>
      <w:r w:rsidR="00696C54" w:rsidRPr="00C75D5C">
        <w:rPr>
          <w:rFonts w:cstheme="minorHAnsi"/>
          <w:bCs/>
        </w:rPr>
        <w:t xml:space="preserve"> awarded as </w:t>
      </w:r>
      <w:proofErr w:type="spellStart"/>
      <w:r w:rsidR="00696C54" w:rsidRPr="00C75D5C">
        <w:rPr>
          <w:rFonts w:cstheme="minorHAnsi"/>
          <w:bCs/>
        </w:rPr>
        <w:t>cILTCR</w:t>
      </w:r>
      <w:proofErr w:type="spellEnd"/>
    </w:p>
    <w:p w14:paraId="16D9E4E7" w14:textId="75E70177" w:rsidR="002423F3" w:rsidRPr="00C75D5C" w:rsidRDefault="002423F3" w:rsidP="000D0FB8">
      <w:pPr>
        <w:spacing w:after="0"/>
        <w:jc w:val="both"/>
        <w:rPr>
          <w:rFonts w:cstheme="minorHAnsi"/>
          <w:bCs/>
        </w:rPr>
      </w:pPr>
      <w:r w:rsidRPr="00C75D5C">
        <w:rPr>
          <w:rFonts w:cstheme="minorHAnsi"/>
          <w:bCs/>
        </w:rPr>
        <w:t>Cust</w:t>
      </w:r>
      <w:r w:rsidR="0096789D" w:rsidRPr="00C75D5C">
        <w:rPr>
          <w:rFonts w:cstheme="minorHAnsi"/>
          <w:bCs/>
        </w:rPr>
        <w:t>omer</w:t>
      </w:r>
      <w:r w:rsidRPr="00C75D5C">
        <w:rPr>
          <w:rFonts w:cstheme="minorHAnsi"/>
          <w:bCs/>
        </w:rPr>
        <w:t xml:space="preserve"> B’s c</w:t>
      </w:r>
      <w:r w:rsidR="0096789D" w:rsidRPr="00C75D5C">
        <w:rPr>
          <w:rFonts w:cstheme="minorHAnsi"/>
          <w:bCs/>
        </w:rPr>
        <w:t>hosen path open</w:t>
      </w:r>
      <w:r w:rsidR="00B17769" w:rsidRPr="00C75D5C">
        <w:rPr>
          <w:rFonts w:cstheme="minorHAnsi"/>
          <w:bCs/>
        </w:rPr>
        <w:t>s</w:t>
      </w:r>
      <w:r w:rsidR="0096789D" w:rsidRPr="00C75D5C">
        <w:rPr>
          <w:rFonts w:cstheme="minorHAnsi"/>
          <w:bCs/>
        </w:rPr>
        <w:t xml:space="preserve"> up 60 MW of additional</w:t>
      </w:r>
      <w:r w:rsidRPr="00C75D5C">
        <w:rPr>
          <w:rFonts w:cstheme="minorHAnsi"/>
          <w:bCs/>
        </w:rPr>
        <w:t xml:space="preserve"> ATC</w:t>
      </w:r>
    </w:p>
    <w:p w14:paraId="44326EA8" w14:textId="0E9D6437" w:rsidR="002423F3" w:rsidRPr="00C75D5C" w:rsidRDefault="002423F3" w:rsidP="00C75D5C">
      <w:pPr>
        <w:pStyle w:val="NormalWeb"/>
        <w:spacing w:before="0" w:beforeAutospacing="0" w:after="120" w:afterAutospacing="0"/>
        <w:jc w:val="both"/>
        <w:rPr>
          <w:rFonts w:asciiTheme="minorHAnsi" w:hAnsiTheme="minorHAnsi" w:cstheme="minorHAnsi"/>
          <w:color w:val="000000"/>
          <w:sz w:val="22"/>
          <w:szCs w:val="22"/>
        </w:rPr>
      </w:pPr>
      <w:r w:rsidRPr="00C75D5C">
        <w:rPr>
          <w:rFonts w:asciiTheme="minorHAnsi" w:hAnsiTheme="minorHAnsi" w:cstheme="minorHAnsi"/>
          <w:color w:val="000000"/>
          <w:sz w:val="22"/>
          <w:szCs w:val="22"/>
        </w:rPr>
        <w:t>Cust</w:t>
      </w:r>
      <w:r w:rsidR="00EA548A" w:rsidRPr="00C75D5C">
        <w:rPr>
          <w:rFonts w:asciiTheme="minorHAnsi" w:hAnsiTheme="minorHAnsi" w:cstheme="minorHAnsi"/>
          <w:color w:val="000000"/>
          <w:sz w:val="22"/>
          <w:szCs w:val="22"/>
        </w:rPr>
        <w:t>omer</w:t>
      </w:r>
      <w:r w:rsidRPr="00C75D5C">
        <w:rPr>
          <w:rFonts w:asciiTheme="minorHAnsi" w:hAnsiTheme="minorHAnsi" w:cstheme="minorHAnsi"/>
          <w:color w:val="000000"/>
          <w:sz w:val="22"/>
          <w:szCs w:val="22"/>
        </w:rPr>
        <w:t xml:space="preserve"> B is entitled to 30% * 60 </w:t>
      </w:r>
      <w:r w:rsidR="00D264D9" w:rsidRPr="00C75D5C">
        <w:rPr>
          <w:rFonts w:asciiTheme="minorHAnsi" w:hAnsiTheme="minorHAnsi" w:cstheme="minorHAnsi"/>
          <w:color w:val="000000"/>
          <w:sz w:val="22"/>
          <w:szCs w:val="22"/>
        </w:rPr>
        <w:t xml:space="preserve">MW </w:t>
      </w:r>
      <w:r w:rsidRPr="00C75D5C">
        <w:rPr>
          <w:rFonts w:asciiTheme="minorHAnsi" w:hAnsiTheme="minorHAnsi" w:cstheme="minorHAnsi"/>
          <w:color w:val="000000"/>
          <w:sz w:val="22"/>
          <w:szCs w:val="22"/>
        </w:rPr>
        <w:t xml:space="preserve">= 18 MW which is then awarded as </w:t>
      </w:r>
      <w:proofErr w:type="spellStart"/>
      <w:r w:rsidRPr="00C75D5C">
        <w:rPr>
          <w:rFonts w:asciiTheme="minorHAnsi" w:hAnsiTheme="minorHAnsi" w:cstheme="minorHAnsi"/>
          <w:color w:val="000000"/>
          <w:sz w:val="22"/>
          <w:szCs w:val="22"/>
        </w:rPr>
        <w:t>cILTCR</w:t>
      </w:r>
      <w:proofErr w:type="spellEnd"/>
    </w:p>
    <w:p w14:paraId="667F20F8" w14:textId="77777777" w:rsidR="00292732" w:rsidRPr="00C75D5C" w:rsidRDefault="00292732" w:rsidP="00286722">
      <w:pPr>
        <w:pStyle w:val="NormalWeb"/>
        <w:spacing w:before="0" w:beforeAutospacing="0" w:after="0" w:afterAutospacing="0"/>
        <w:jc w:val="both"/>
        <w:rPr>
          <w:rFonts w:asciiTheme="minorHAnsi" w:hAnsiTheme="minorHAnsi" w:cstheme="minorHAnsi"/>
          <w:color w:val="000000"/>
          <w:sz w:val="22"/>
          <w:szCs w:val="22"/>
        </w:rPr>
      </w:pPr>
    </w:p>
    <w:p w14:paraId="6DE287D3" w14:textId="64A1F7BC" w:rsidR="00732ACF" w:rsidRPr="00C75D5C" w:rsidRDefault="00286722" w:rsidP="00023FCC">
      <w:pPr>
        <w:pStyle w:val="NormalWeb"/>
        <w:spacing w:before="0" w:beforeAutospacing="0" w:after="120" w:afterAutospacing="0"/>
        <w:jc w:val="both"/>
        <w:rPr>
          <w:rFonts w:asciiTheme="minorHAnsi" w:hAnsiTheme="minorHAnsi" w:cstheme="minorHAnsi"/>
          <w:b/>
          <w:sz w:val="22"/>
          <w:szCs w:val="22"/>
        </w:rPr>
      </w:pPr>
      <w:r w:rsidRPr="00C75D5C">
        <w:rPr>
          <w:rFonts w:asciiTheme="minorHAnsi" w:hAnsiTheme="minorHAnsi" w:cstheme="minorHAnsi"/>
          <w:b/>
          <w:sz w:val="22"/>
          <w:szCs w:val="22"/>
        </w:rPr>
        <w:t xml:space="preserve">Q: </w:t>
      </w:r>
      <w:r w:rsidR="00E14E7B" w:rsidRPr="00C75D5C">
        <w:rPr>
          <w:rFonts w:asciiTheme="minorHAnsi" w:hAnsiTheme="minorHAnsi" w:cstheme="minorHAnsi"/>
          <w:b/>
          <w:sz w:val="22"/>
          <w:szCs w:val="22"/>
        </w:rPr>
        <w:t xml:space="preserve">How does the </w:t>
      </w:r>
      <w:r w:rsidR="001057DF" w:rsidRPr="00C75D5C">
        <w:rPr>
          <w:rFonts w:asciiTheme="minorHAnsi" w:hAnsiTheme="minorHAnsi" w:cstheme="minorHAnsi"/>
          <w:b/>
          <w:sz w:val="22"/>
          <w:szCs w:val="22"/>
        </w:rPr>
        <w:t>ILTCR information</w:t>
      </w:r>
      <w:r w:rsidR="00E14E7B" w:rsidRPr="00C75D5C">
        <w:rPr>
          <w:rFonts w:asciiTheme="minorHAnsi" w:hAnsiTheme="minorHAnsi" w:cstheme="minorHAnsi"/>
          <w:b/>
          <w:sz w:val="22"/>
          <w:szCs w:val="22"/>
        </w:rPr>
        <w:t xml:space="preserve"> incorporated into applicable service agreements </w:t>
      </w:r>
      <w:r w:rsidR="00732ACF" w:rsidRPr="00C75D5C">
        <w:rPr>
          <w:rFonts w:asciiTheme="minorHAnsi" w:hAnsiTheme="minorHAnsi" w:cstheme="minorHAnsi"/>
          <w:b/>
          <w:sz w:val="22"/>
          <w:szCs w:val="22"/>
        </w:rPr>
        <w:t xml:space="preserve">get submitted </w:t>
      </w:r>
      <w:r w:rsidR="00EC3A8C" w:rsidRPr="00C75D5C">
        <w:rPr>
          <w:rFonts w:asciiTheme="minorHAnsi" w:hAnsiTheme="minorHAnsi" w:cstheme="minorHAnsi"/>
          <w:b/>
          <w:sz w:val="22"/>
          <w:szCs w:val="22"/>
        </w:rPr>
        <w:t xml:space="preserve">into the </w:t>
      </w:r>
      <w:proofErr w:type="spellStart"/>
      <w:r w:rsidR="00EC3A8C" w:rsidRPr="00C75D5C">
        <w:rPr>
          <w:rFonts w:asciiTheme="minorHAnsi" w:hAnsiTheme="minorHAnsi" w:cstheme="minorHAnsi"/>
          <w:b/>
          <w:sz w:val="22"/>
          <w:szCs w:val="22"/>
        </w:rPr>
        <w:t>cILTCR</w:t>
      </w:r>
      <w:proofErr w:type="spellEnd"/>
      <w:r w:rsidR="00EC3A8C" w:rsidRPr="00C75D5C">
        <w:rPr>
          <w:rFonts w:asciiTheme="minorHAnsi" w:hAnsiTheme="minorHAnsi" w:cstheme="minorHAnsi"/>
          <w:b/>
          <w:sz w:val="22"/>
          <w:szCs w:val="22"/>
        </w:rPr>
        <w:t xml:space="preserve"> market process after </w:t>
      </w:r>
      <w:r w:rsidR="00E14E7B" w:rsidRPr="00C75D5C">
        <w:rPr>
          <w:rFonts w:asciiTheme="minorHAnsi" w:hAnsiTheme="minorHAnsi" w:cstheme="minorHAnsi"/>
          <w:b/>
          <w:sz w:val="22"/>
          <w:szCs w:val="22"/>
        </w:rPr>
        <w:t>filing</w:t>
      </w:r>
      <w:r w:rsidR="00732ACF" w:rsidRPr="00C75D5C">
        <w:rPr>
          <w:rFonts w:asciiTheme="minorHAnsi" w:hAnsiTheme="minorHAnsi" w:cstheme="minorHAnsi"/>
          <w:b/>
          <w:sz w:val="22"/>
          <w:szCs w:val="22"/>
        </w:rPr>
        <w:t>?</w:t>
      </w:r>
    </w:p>
    <w:p w14:paraId="2681AD27" w14:textId="4A73B109" w:rsidR="00732ACF" w:rsidRPr="00C75D5C" w:rsidRDefault="00286722" w:rsidP="00C75D5C">
      <w:pPr>
        <w:pStyle w:val="NormalWeb"/>
        <w:spacing w:before="0" w:beforeAutospacing="0" w:after="120" w:afterAutospacing="0"/>
        <w:jc w:val="both"/>
        <w:rPr>
          <w:rFonts w:asciiTheme="minorHAnsi" w:hAnsiTheme="minorHAnsi" w:cstheme="minorHAnsi"/>
          <w:color w:val="000000"/>
          <w:sz w:val="22"/>
          <w:szCs w:val="22"/>
        </w:rPr>
      </w:pPr>
      <w:r w:rsidRPr="00C75D5C">
        <w:rPr>
          <w:rFonts w:asciiTheme="minorHAnsi" w:hAnsiTheme="minorHAnsi" w:cstheme="minorHAnsi"/>
          <w:color w:val="000000"/>
          <w:sz w:val="22"/>
          <w:szCs w:val="22"/>
        </w:rPr>
        <w:t xml:space="preserve">A: </w:t>
      </w:r>
      <w:r w:rsidR="00732ACF" w:rsidRPr="00C75D5C">
        <w:rPr>
          <w:rFonts w:asciiTheme="minorHAnsi" w:hAnsiTheme="minorHAnsi" w:cstheme="minorHAnsi"/>
          <w:color w:val="000000"/>
          <w:sz w:val="22"/>
          <w:szCs w:val="22"/>
        </w:rPr>
        <w:t xml:space="preserve">SPP will </w:t>
      </w:r>
      <w:r w:rsidR="003B4458" w:rsidRPr="00C75D5C">
        <w:rPr>
          <w:rFonts w:asciiTheme="minorHAnsi" w:hAnsiTheme="minorHAnsi" w:cstheme="minorHAnsi"/>
          <w:color w:val="000000"/>
          <w:sz w:val="22"/>
          <w:szCs w:val="22"/>
        </w:rPr>
        <w:t>incorporate data from applicable service agreements</w:t>
      </w:r>
      <w:r w:rsidR="00732ACF" w:rsidRPr="00C75D5C">
        <w:rPr>
          <w:rFonts w:asciiTheme="minorHAnsi" w:hAnsiTheme="minorHAnsi" w:cstheme="minorHAnsi"/>
          <w:color w:val="000000"/>
          <w:sz w:val="22"/>
          <w:szCs w:val="22"/>
        </w:rPr>
        <w:t xml:space="preserve"> </w:t>
      </w:r>
      <w:r w:rsidR="003B4458" w:rsidRPr="00C75D5C">
        <w:rPr>
          <w:rFonts w:asciiTheme="minorHAnsi" w:hAnsiTheme="minorHAnsi" w:cstheme="minorHAnsi"/>
          <w:color w:val="000000"/>
          <w:sz w:val="22"/>
          <w:szCs w:val="22"/>
        </w:rPr>
        <w:t>in</w:t>
      </w:r>
      <w:r w:rsidR="00732ACF" w:rsidRPr="00C75D5C">
        <w:rPr>
          <w:rFonts w:asciiTheme="minorHAnsi" w:hAnsiTheme="minorHAnsi" w:cstheme="minorHAnsi"/>
          <w:color w:val="000000"/>
          <w:sz w:val="22"/>
          <w:szCs w:val="22"/>
        </w:rPr>
        <w:t xml:space="preserve">to </w:t>
      </w:r>
      <w:r w:rsidR="00EC3A8C" w:rsidRPr="00C75D5C">
        <w:rPr>
          <w:rFonts w:asciiTheme="minorHAnsi" w:hAnsiTheme="minorHAnsi" w:cstheme="minorHAnsi"/>
          <w:color w:val="000000"/>
          <w:sz w:val="22"/>
          <w:szCs w:val="22"/>
        </w:rPr>
        <w:t xml:space="preserve">the </w:t>
      </w:r>
      <w:proofErr w:type="spellStart"/>
      <w:r w:rsidR="00EC3A8C" w:rsidRPr="00C75D5C">
        <w:rPr>
          <w:rFonts w:asciiTheme="minorHAnsi" w:hAnsiTheme="minorHAnsi" w:cstheme="minorHAnsi"/>
          <w:color w:val="000000"/>
          <w:sz w:val="22"/>
          <w:szCs w:val="22"/>
        </w:rPr>
        <w:t>cILTCR</w:t>
      </w:r>
      <w:proofErr w:type="spellEnd"/>
      <w:r w:rsidR="00EC3A8C" w:rsidRPr="00C75D5C">
        <w:rPr>
          <w:rFonts w:asciiTheme="minorHAnsi" w:hAnsiTheme="minorHAnsi" w:cstheme="minorHAnsi"/>
          <w:color w:val="000000"/>
          <w:sz w:val="22"/>
          <w:szCs w:val="22"/>
        </w:rPr>
        <w:t xml:space="preserve"> market process</w:t>
      </w:r>
      <w:r w:rsidR="00732ACF" w:rsidRPr="00C75D5C">
        <w:rPr>
          <w:rFonts w:asciiTheme="minorHAnsi" w:hAnsiTheme="minorHAnsi" w:cstheme="minorHAnsi"/>
          <w:color w:val="000000"/>
          <w:sz w:val="22"/>
          <w:szCs w:val="22"/>
        </w:rPr>
        <w:t xml:space="preserve">, </w:t>
      </w:r>
      <w:r w:rsidR="008E0834" w:rsidRPr="00C75D5C">
        <w:rPr>
          <w:rFonts w:asciiTheme="minorHAnsi" w:hAnsiTheme="minorHAnsi" w:cstheme="minorHAnsi"/>
          <w:color w:val="000000"/>
          <w:sz w:val="22"/>
          <w:szCs w:val="22"/>
        </w:rPr>
        <w:t>however,</w:t>
      </w:r>
      <w:r w:rsidR="00732ACF" w:rsidRPr="00C75D5C">
        <w:rPr>
          <w:rFonts w:asciiTheme="minorHAnsi" w:hAnsiTheme="minorHAnsi" w:cstheme="minorHAnsi"/>
          <w:color w:val="000000"/>
          <w:sz w:val="22"/>
          <w:szCs w:val="22"/>
        </w:rPr>
        <w:t xml:space="preserve"> the customer </w:t>
      </w:r>
      <w:r w:rsidR="008E0834" w:rsidRPr="00C75D5C">
        <w:rPr>
          <w:rFonts w:asciiTheme="minorHAnsi" w:hAnsiTheme="minorHAnsi" w:cstheme="minorHAnsi"/>
          <w:color w:val="000000"/>
          <w:sz w:val="22"/>
          <w:szCs w:val="22"/>
        </w:rPr>
        <w:t xml:space="preserve">is </w:t>
      </w:r>
      <w:r w:rsidR="00732ACF" w:rsidRPr="00C75D5C">
        <w:rPr>
          <w:rFonts w:asciiTheme="minorHAnsi" w:hAnsiTheme="minorHAnsi" w:cstheme="minorHAnsi"/>
          <w:color w:val="000000"/>
          <w:sz w:val="22"/>
          <w:szCs w:val="22"/>
        </w:rPr>
        <w:t>obligat</w:t>
      </w:r>
      <w:r w:rsidR="008E0834" w:rsidRPr="00C75D5C">
        <w:rPr>
          <w:rFonts w:asciiTheme="minorHAnsi" w:hAnsiTheme="minorHAnsi" w:cstheme="minorHAnsi"/>
          <w:color w:val="000000"/>
          <w:sz w:val="22"/>
          <w:szCs w:val="22"/>
        </w:rPr>
        <w:t>ed</w:t>
      </w:r>
      <w:r w:rsidR="00732ACF" w:rsidRPr="00C75D5C">
        <w:rPr>
          <w:rFonts w:asciiTheme="minorHAnsi" w:hAnsiTheme="minorHAnsi" w:cstheme="minorHAnsi"/>
          <w:color w:val="000000"/>
          <w:sz w:val="22"/>
          <w:szCs w:val="22"/>
        </w:rPr>
        <w:t xml:space="preserve"> to notify SPP via RMS of the upgrade energization 45-days in advance</w:t>
      </w:r>
      <w:r w:rsidR="001C34B7" w:rsidRPr="00C75D5C">
        <w:rPr>
          <w:rFonts w:asciiTheme="minorHAnsi" w:hAnsiTheme="minorHAnsi" w:cstheme="minorHAnsi"/>
          <w:color w:val="000000"/>
          <w:sz w:val="22"/>
          <w:szCs w:val="22"/>
        </w:rPr>
        <w:t xml:space="preserve"> in order to begin the Congestion Hedging process</w:t>
      </w:r>
      <w:r w:rsidR="00732ACF" w:rsidRPr="00C75D5C">
        <w:rPr>
          <w:rFonts w:asciiTheme="minorHAnsi" w:hAnsiTheme="minorHAnsi" w:cstheme="minorHAnsi"/>
          <w:color w:val="000000"/>
          <w:sz w:val="22"/>
          <w:szCs w:val="22"/>
        </w:rPr>
        <w:t>.</w:t>
      </w:r>
    </w:p>
    <w:p w14:paraId="3950B2DC" w14:textId="77777777" w:rsidR="00286722" w:rsidRPr="00C75D5C" w:rsidRDefault="00286722" w:rsidP="00286722">
      <w:pPr>
        <w:pStyle w:val="NormalWeb"/>
        <w:spacing w:before="0" w:beforeAutospacing="0" w:after="0" w:afterAutospacing="0"/>
        <w:jc w:val="both"/>
        <w:rPr>
          <w:rFonts w:asciiTheme="minorHAnsi" w:hAnsiTheme="minorHAnsi" w:cstheme="minorHAnsi"/>
          <w:color w:val="000000"/>
          <w:sz w:val="22"/>
          <w:szCs w:val="22"/>
        </w:rPr>
      </w:pPr>
    </w:p>
    <w:p w14:paraId="418BABE2" w14:textId="5AC91A42" w:rsidR="00732ACF" w:rsidRPr="00C75D5C" w:rsidRDefault="00286722" w:rsidP="00023FCC">
      <w:pPr>
        <w:pStyle w:val="NormalWeb"/>
        <w:spacing w:before="0" w:beforeAutospacing="0" w:after="120" w:afterAutospacing="0"/>
        <w:jc w:val="both"/>
        <w:rPr>
          <w:rFonts w:asciiTheme="minorHAnsi" w:hAnsiTheme="minorHAnsi" w:cstheme="minorHAnsi"/>
          <w:b/>
          <w:sz w:val="22"/>
          <w:szCs w:val="22"/>
        </w:rPr>
      </w:pPr>
      <w:r w:rsidRPr="00C75D5C">
        <w:rPr>
          <w:rFonts w:asciiTheme="minorHAnsi" w:hAnsiTheme="minorHAnsi" w:cstheme="minorHAnsi"/>
          <w:b/>
          <w:sz w:val="22"/>
          <w:szCs w:val="22"/>
        </w:rPr>
        <w:t xml:space="preserve">Q: </w:t>
      </w:r>
      <w:r w:rsidR="00CC0D80" w:rsidRPr="00C75D5C">
        <w:rPr>
          <w:rFonts w:asciiTheme="minorHAnsi" w:hAnsiTheme="minorHAnsi" w:cstheme="minorHAnsi"/>
          <w:b/>
          <w:sz w:val="22"/>
          <w:szCs w:val="22"/>
        </w:rPr>
        <w:t>Can a</w:t>
      </w:r>
      <w:r w:rsidR="00732ACF" w:rsidRPr="00C75D5C">
        <w:rPr>
          <w:rFonts w:asciiTheme="minorHAnsi" w:hAnsiTheme="minorHAnsi" w:cstheme="minorHAnsi"/>
          <w:b/>
          <w:sz w:val="22"/>
          <w:szCs w:val="22"/>
        </w:rPr>
        <w:t xml:space="preserve"> customer elect out of the process after being awarded the ILTCR?</w:t>
      </w:r>
    </w:p>
    <w:p w14:paraId="26121311" w14:textId="7FA463E9" w:rsidR="005049F5" w:rsidRPr="00C75D5C" w:rsidRDefault="00286722" w:rsidP="000D0FB8">
      <w:pPr>
        <w:jc w:val="both"/>
        <w:rPr>
          <w:rFonts w:cstheme="minorHAnsi"/>
        </w:rPr>
      </w:pPr>
      <w:r w:rsidRPr="00C75D5C">
        <w:rPr>
          <w:rFonts w:cstheme="minorHAnsi"/>
        </w:rPr>
        <w:t xml:space="preserve">A: </w:t>
      </w:r>
      <w:r w:rsidR="005049F5" w:rsidRPr="00C75D5C">
        <w:rPr>
          <w:rFonts w:cstheme="minorHAnsi"/>
        </w:rPr>
        <w:t xml:space="preserve">If the Network Upgrade is energized mid-year, </w:t>
      </w:r>
      <w:r w:rsidR="00732ACF" w:rsidRPr="00C75D5C">
        <w:rPr>
          <w:rFonts w:cstheme="minorHAnsi"/>
        </w:rPr>
        <w:t>the customer</w:t>
      </w:r>
      <w:r w:rsidR="006E1353" w:rsidRPr="00C75D5C">
        <w:rPr>
          <w:rFonts w:cstheme="minorHAnsi"/>
        </w:rPr>
        <w:t xml:space="preserve"> remains bound</w:t>
      </w:r>
      <w:r w:rsidR="005049F5" w:rsidRPr="00C75D5C">
        <w:rPr>
          <w:rFonts w:cstheme="minorHAnsi"/>
        </w:rPr>
        <w:t xml:space="preserve"> to awarded ILTCR</w:t>
      </w:r>
      <w:r w:rsidR="00570ABE" w:rsidRPr="00C75D5C">
        <w:rPr>
          <w:rFonts w:cstheme="minorHAnsi"/>
        </w:rPr>
        <w:t>s</w:t>
      </w:r>
      <w:r w:rsidR="006E1353" w:rsidRPr="00C75D5C">
        <w:rPr>
          <w:rFonts w:cstheme="minorHAnsi"/>
        </w:rPr>
        <w:t xml:space="preserve"> </w:t>
      </w:r>
      <w:r w:rsidR="005049F5" w:rsidRPr="00C75D5C">
        <w:rPr>
          <w:rFonts w:cstheme="minorHAnsi"/>
        </w:rPr>
        <w:t>for the remainder</w:t>
      </w:r>
      <w:r w:rsidR="00732ACF" w:rsidRPr="00C75D5C">
        <w:rPr>
          <w:rFonts w:cstheme="minorHAnsi"/>
        </w:rPr>
        <w:t xml:space="preserve"> of the TCR year. The customer may try to sell the TCR MWs in the monthly auction or the secondary market.</w:t>
      </w:r>
      <w:r w:rsidR="005049F5" w:rsidRPr="00C75D5C">
        <w:rPr>
          <w:rFonts w:cstheme="minorHAnsi"/>
        </w:rPr>
        <w:t xml:space="preserve"> </w:t>
      </w:r>
    </w:p>
    <w:p w14:paraId="264DD7B1" w14:textId="5AFB134F" w:rsidR="00732ACF" w:rsidRPr="00C75D5C" w:rsidRDefault="005049F5" w:rsidP="00C75D5C">
      <w:pPr>
        <w:pStyle w:val="NormalWeb"/>
        <w:spacing w:before="0" w:beforeAutospacing="0" w:after="120" w:afterAutospacing="0"/>
        <w:jc w:val="both"/>
        <w:rPr>
          <w:rFonts w:asciiTheme="minorHAnsi" w:hAnsiTheme="minorHAnsi" w:cstheme="minorHAnsi"/>
          <w:color w:val="000000"/>
          <w:sz w:val="22"/>
          <w:szCs w:val="22"/>
        </w:rPr>
      </w:pPr>
      <w:r w:rsidRPr="00C75D5C">
        <w:rPr>
          <w:rFonts w:asciiTheme="minorHAnsi" w:hAnsiTheme="minorHAnsi" w:cstheme="minorHAnsi"/>
          <w:color w:val="000000"/>
          <w:sz w:val="22"/>
          <w:szCs w:val="22"/>
        </w:rPr>
        <w:t>If the Network Upgrade is energized at</w:t>
      </w:r>
      <w:r w:rsidR="00732ACF" w:rsidRPr="00C75D5C">
        <w:rPr>
          <w:rFonts w:asciiTheme="minorHAnsi" w:hAnsiTheme="minorHAnsi" w:cstheme="minorHAnsi"/>
          <w:color w:val="000000"/>
          <w:sz w:val="22"/>
          <w:szCs w:val="22"/>
        </w:rPr>
        <w:t xml:space="preserve"> </w:t>
      </w:r>
      <w:r w:rsidR="001057DF" w:rsidRPr="00C75D5C">
        <w:rPr>
          <w:rFonts w:asciiTheme="minorHAnsi" w:hAnsiTheme="minorHAnsi" w:cstheme="minorHAnsi"/>
          <w:color w:val="000000"/>
          <w:sz w:val="22"/>
          <w:szCs w:val="22"/>
        </w:rPr>
        <w:t>the beginning of the next LTCR a</w:t>
      </w:r>
      <w:r w:rsidR="00732ACF" w:rsidRPr="00C75D5C">
        <w:rPr>
          <w:rFonts w:asciiTheme="minorHAnsi" w:hAnsiTheme="minorHAnsi" w:cstheme="minorHAnsi"/>
          <w:color w:val="000000"/>
          <w:sz w:val="22"/>
          <w:szCs w:val="22"/>
        </w:rPr>
        <w:t>llocation process, a customer may</w:t>
      </w:r>
      <w:r w:rsidR="00F92FC2" w:rsidRPr="00C75D5C">
        <w:rPr>
          <w:rFonts w:asciiTheme="minorHAnsi" w:hAnsiTheme="minorHAnsi" w:cstheme="minorHAnsi"/>
          <w:color w:val="000000"/>
          <w:sz w:val="22"/>
          <w:szCs w:val="22"/>
        </w:rPr>
        <w:t xml:space="preserve"> nominate </w:t>
      </w:r>
      <w:r w:rsidR="001A68A8" w:rsidRPr="00C75D5C">
        <w:rPr>
          <w:rFonts w:asciiTheme="minorHAnsi" w:hAnsiTheme="minorHAnsi" w:cstheme="minorHAnsi"/>
          <w:color w:val="000000"/>
          <w:sz w:val="22"/>
          <w:szCs w:val="22"/>
        </w:rPr>
        <w:t>c</w:t>
      </w:r>
      <w:r w:rsidR="00F92FC2" w:rsidRPr="00C75D5C">
        <w:rPr>
          <w:rFonts w:asciiTheme="minorHAnsi" w:hAnsiTheme="minorHAnsi" w:cstheme="minorHAnsi"/>
          <w:color w:val="000000"/>
          <w:sz w:val="22"/>
          <w:szCs w:val="22"/>
        </w:rPr>
        <w:t>andidate ILTCRs. During the LTCR allocation process, MPs that have awarded ILTCRs may</w:t>
      </w:r>
      <w:r w:rsidR="00732ACF" w:rsidRPr="00C75D5C">
        <w:rPr>
          <w:rFonts w:asciiTheme="minorHAnsi" w:hAnsiTheme="minorHAnsi" w:cstheme="minorHAnsi"/>
          <w:color w:val="000000"/>
          <w:sz w:val="22"/>
          <w:szCs w:val="22"/>
        </w:rPr>
        <w:t xml:space="preserve"> surrender any amount of ILTCRs it is awarded for that applicable TCR year</w:t>
      </w:r>
      <w:r w:rsidR="00AA23EA" w:rsidRPr="00C75D5C">
        <w:rPr>
          <w:rFonts w:asciiTheme="minorHAnsi" w:hAnsiTheme="minorHAnsi" w:cstheme="minorHAnsi"/>
          <w:color w:val="000000"/>
          <w:sz w:val="22"/>
          <w:szCs w:val="22"/>
          <w:vertAlign w:val="superscript"/>
        </w:rPr>
        <w:footnoteReference w:id="11"/>
      </w:r>
      <w:r w:rsidR="00570ABE" w:rsidRPr="00C75D5C">
        <w:rPr>
          <w:rFonts w:asciiTheme="minorHAnsi" w:hAnsiTheme="minorHAnsi" w:cstheme="minorHAnsi"/>
          <w:color w:val="000000"/>
          <w:sz w:val="22"/>
          <w:szCs w:val="22"/>
        </w:rPr>
        <w:t>.</w:t>
      </w:r>
      <w:r w:rsidR="00732ACF" w:rsidRPr="00C75D5C">
        <w:rPr>
          <w:rFonts w:asciiTheme="minorHAnsi" w:hAnsiTheme="minorHAnsi" w:cstheme="minorHAnsi"/>
          <w:color w:val="000000"/>
          <w:sz w:val="22"/>
          <w:szCs w:val="22"/>
        </w:rPr>
        <w:t xml:space="preserve"> </w:t>
      </w:r>
    </w:p>
    <w:p w14:paraId="13586BEF" w14:textId="77777777" w:rsidR="00160C79" w:rsidRPr="00C75D5C" w:rsidRDefault="00160C79" w:rsidP="00286722">
      <w:pPr>
        <w:pStyle w:val="NormalWeb"/>
        <w:spacing w:before="0" w:beforeAutospacing="0" w:after="0" w:afterAutospacing="0"/>
        <w:jc w:val="both"/>
        <w:rPr>
          <w:rFonts w:asciiTheme="minorHAnsi" w:hAnsiTheme="minorHAnsi" w:cstheme="minorHAnsi"/>
          <w:color w:val="000000"/>
          <w:sz w:val="22"/>
          <w:szCs w:val="22"/>
        </w:rPr>
      </w:pPr>
    </w:p>
    <w:p w14:paraId="42316001" w14:textId="10516345" w:rsidR="000328FB" w:rsidRPr="00C75D5C" w:rsidRDefault="00286722" w:rsidP="00023FCC">
      <w:pPr>
        <w:pStyle w:val="NormalWeb"/>
        <w:spacing w:before="0" w:beforeAutospacing="0" w:after="120" w:afterAutospacing="0"/>
        <w:jc w:val="both"/>
        <w:rPr>
          <w:rFonts w:asciiTheme="minorHAnsi" w:hAnsiTheme="minorHAnsi" w:cstheme="minorHAnsi"/>
          <w:b/>
          <w:sz w:val="22"/>
          <w:szCs w:val="22"/>
        </w:rPr>
      </w:pPr>
      <w:r w:rsidRPr="00C75D5C">
        <w:rPr>
          <w:rFonts w:asciiTheme="minorHAnsi" w:hAnsiTheme="minorHAnsi" w:cstheme="minorHAnsi"/>
          <w:b/>
          <w:sz w:val="22"/>
          <w:szCs w:val="22"/>
        </w:rPr>
        <w:t xml:space="preserve">Q: </w:t>
      </w:r>
      <w:r w:rsidR="00160C79" w:rsidRPr="00C75D5C">
        <w:rPr>
          <w:rFonts w:asciiTheme="minorHAnsi" w:hAnsiTheme="minorHAnsi" w:cstheme="minorHAnsi"/>
          <w:b/>
          <w:sz w:val="22"/>
          <w:szCs w:val="22"/>
        </w:rPr>
        <w:t xml:space="preserve">Is there a cap on the revenue that a </w:t>
      </w:r>
      <w:r w:rsidR="00E55C47" w:rsidRPr="00C75D5C">
        <w:rPr>
          <w:rFonts w:asciiTheme="minorHAnsi" w:hAnsiTheme="minorHAnsi" w:cstheme="minorHAnsi"/>
          <w:b/>
          <w:sz w:val="22"/>
          <w:szCs w:val="22"/>
        </w:rPr>
        <w:t>MP</w:t>
      </w:r>
      <w:r w:rsidR="00160C79" w:rsidRPr="00C75D5C">
        <w:rPr>
          <w:rFonts w:asciiTheme="minorHAnsi" w:hAnsiTheme="minorHAnsi" w:cstheme="minorHAnsi"/>
          <w:b/>
          <w:sz w:val="22"/>
          <w:szCs w:val="22"/>
        </w:rPr>
        <w:t xml:space="preserve"> could potentially receive for their ILTC</w:t>
      </w:r>
      <w:r w:rsidR="00EE6674" w:rsidRPr="00C75D5C">
        <w:rPr>
          <w:rFonts w:asciiTheme="minorHAnsi" w:hAnsiTheme="minorHAnsi" w:cstheme="minorHAnsi"/>
          <w:b/>
          <w:sz w:val="22"/>
          <w:szCs w:val="22"/>
        </w:rPr>
        <w:t>R</w:t>
      </w:r>
      <w:r w:rsidR="00160C79" w:rsidRPr="00C75D5C">
        <w:rPr>
          <w:rFonts w:asciiTheme="minorHAnsi" w:hAnsiTheme="minorHAnsi" w:cstheme="minorHAnsi"/>
          <w:b/>
          <w:sz w:val="22"/>
          <w:szCs w:val="22"/>
        </w:rPr>
        <w:t xml:space="preserve">s associated with a given transmission upgrade? </w:t>
      </w:r>
    </w:p>
    <w:p w14:paraId="0A832BB8" w14:textId="6FF38269" w:rsidR="00DA34FB" w:rsidRPr="00C75D5C" w:rsidRDefault="00286722" w:rsidP="000D0FB8">
      <w:pPr>
        <w:jc w:val="both"/>
        <w:rPr>
          <w:rFonts w:cstheme="minorHAnsi"/>
        </w:rPr>
      </w:pPr>
      <w:r w:rsidRPr="00C75D5C">
        <w:rPr>
          <w:rFonts w:cstheme="minorHAnsi"/>
        </w:rPr>
        <w:t xml:space="preserve">A: </w:t>
      </w:r>
      <w:r w:rsidR="0032327B" w:rsidRPr="00C75D5C">
        <w:rPr>
          <w:rFonts w:cstheme="minorHAnsi"/>
        </w:rPr>
        <w:t xml:space="preserve">There is no value cap </w:t>
      </w:r>
      <w:r w:rsidR="00DA34FB" w:rsidRPr="00C75D5C">
        <w:rPr>
          <w:rFonts w:cstheme="minorHAnsi"/>
        </w:rPr>
        <w:t>on the revenue that a MP could potentially receive for their ILTCRs</w:t>
      </w:r>
      <w:r w:rsidR="00F46650" w:rsidRPr="00C75D5C">
        <w:rPr>
          <w:rFonts w:cstheme="minorHAnsi"/>
        </w:rPr>
        <w:t xml:space="preserve"> associated with a given transmission up</w:t>
      </w:r>
      <w:r w:rsidR="00033CDA" w:rsidRPr="00C75D5C">
        <w:rPr>
          <w:rFonts w:cstheme="minorHAnsi"/>
        </w:rPr>
        <w:t>grade.</w:t>
      </w:r>
      <w:r w:rsidR="00F46650" w:rsidRPr="00C75D5C">
        <w:rPr>
          <w:rFonts w:cstheme="minorHAnsi"/>
        </w:rPr>
        <w:t xml:space="preserve"> </w:t>
      </w:r>
      <w:r w:rsidR="00FC04D3" w:rsidRPr="00C75D5C">
        <w:rPr>
          <w:rFonts w:cstheme="minorHAnsi"/>
        </w:rPr>
        <w:t xml:space="preserve">However, </w:t>
      </w:r>
      <w:proofErr w:type="spellStart"/>
      <w:r w:rsidR="00FC04D3" w:rsidRPr="00C75D5C">
        <w:rPr>
          <w:rFonts w:cstheme="minorHAnsi"/>
        </w:rPr>
        <w:t>cILTCR</w:t>
      </w:r>
      <w:proofErr w:type="spellEnd"/>
      <w:r w:rsidR="0032327B" w:rsidRPr="00C75D5C">
        <w:rPr>
          <w:rFonts w:cstheme="minorHAnsi"/>
        </w:rPr>
        <w:t xml:space="preserve"> are subject to a 20-year time limit as stated in</w:t>
      </w:r>
      <w:r w:rsidR="00AA23EA" w:rsidRPr="00C75D5C">
        <w:rPr>
          <w:rFonts w:cstheme="minorHAnsi"/>
        </w:rPr>
        <w:t xml:space="preserve"> SPP OATT</w:t>
      </w:r>
      <w:r w:rsidR="0032327B" w:rsidRPr="00C75D5C">
        <w:rPr>
          <w:rFonts w:cstheme="minorHAnsi"/>
        </w:rPr>
        <w:t xml:space="preserve"> Attachment J, Section</w:t>
      </w:r>
      <w:r w:rsidR="00AA23EA" w:rsidRPr="00C75D5C">
        <w:rPr>
          <w:rFonts w:cstheme="minorHAnsi"/>
        </w:rPr>
        <w:t>s</w:t>
      </w:r>
      <w:r w:rsidR="0032327B" w:rsidRPr="00C75D5C">
        <w:rPr>
          <w:rFonts w:cstheme="minorHAnsi"/>
        </w:rPr>
        <w:t xml:space="preserve"> </w:t>
      </w:r>
      <w:proofErr w:type="gramStart"/>
      <w:r w:rsidR="0032327B" w:rsidRPr="00C75D5C">
        <w:rPr>
          <w:rFonts w:cstheme="minorHAnsi"/>
        </w:rPr>
        <w:t>V</w:t>
      </w:r>
      <w:r w:rsidR="00AA23EA" w:rsidRPr="00C75D5C">
        <w:rPr>
          <w:rFonts w:cstheme="minorHAnsi"/>
        </w:rPr>
        <w:t>(</w:t>
      </w:r>
      <w:proofErr w:type="gramEnd"/>
      <w:r w:rsidR="0032327B" w:rsidRPr="00C75D5C">
        <w:rPr>
          <w:rFonts w:cstheme="minorHAnsi"/>
        </w:rPr>
        <w:t>A</w:t>
      </w:r>
      <w:r w:rsidR="00201E98" w:rsidRPr="00C75D5C">
        <w:rPr>
          <w:rFonts w:cstheme="minorHAnsi"/>
        </w:rPr>
        <w:t>)</w:t>
      </w:r>
      <w:r w:rsidR="0032327B" w:rsidRPr="00C75D5C">
        <w:rPr>
          <w:rFonts w:cstheme="minorHAnsi"/>
        </w:rPr>
        <w:t xml:space="preserve"> – </w:t>
      </w:r>
      <w:r w:rsidR="00201E98" w:rsidRPr="00C75D5C">
        <w:rPr>
          <w:rFonts w:cstheme="minorHAnsi"/>
        </w:rPr>
        <w:t>(</w:t>
      </w:r>
      <w:r w:rsidR="0032327B" w:rsidRPr="00C75D5C">
        <w:rPr>
          <w:rFonts w:cstheme="minorHAnsi"/>
        </w:rPr>
        <w:t>C</w:t>
      </w:r>
      <w:r w:rsidR="00AA23EA" w:rsidRPr="00C75D5C">
        <w:rPr>
          <w:rFonts w:cstheme="minorHAnsi"/>
        </w:rPr>
        <w:t>) and Attachment J,</w:t>
      </w:r>
      <w:r w:rsidR="0032327B" w:rsidRPr="00C75D5C">
        <w:rPr>
          <w:rFonts w:cstheme="minorHAnsi"/>
        </w:rPr>
        <w:t xml:space="preserve"> Schedule 1</w:t>
      </w:r>
      <w:r w:rsidR="00EE55E7" w:rsidRPr="00C75D5C">
        <w:rPr>
          <w:rFonts w:cstheme="minorHAnsi"/>
        </w:rPr>
        <w:t>.</w:t>
      </w:r>
    </w:p>
    <w:p w14:paraId="7B3CD855" w14:textId="028EF6A0" w:rsidR="00160C79" w:rsidRPr="00C75D5C" w:rsidRDefault="00160C79" w:rsidP="00C75D5C">
      <w:pPr>
        <w:pStyle w:val="NormalWeb"/>
        <w:spacing w:before="0" w:beforeAutospacing="0" w:after="120" w:afterAutospacing="0"/>
        <w:jc w:val="both"/>
        <w:rPr>
          <w:rFonts w:asciiTheme="minorHAnsi" w:hAnsiTheme="minorHAnsi" w:cstheme="minorHAnsi"/>
          <w:color w:val="000000"/>
          <w:sz w:val="22"/>
          <w:szCs w:val="22"/>
        </w:rPr>
      </w:pPr>
      <w:r w:rsidRPr="00C75D5C">
        <w:rPr>
          <w:rFonts w:asciiTheme="minorHAnsi" w:hAnsiTheme="minorHAnsi" w:cstheme="minorHAnsi"/>
          <w:color w:val="000000"/>
          <w:sz w:val="22"/>
          <w:szCs w:val="22"/>
        </w:rPr>
        <w:lastRenderedPageBreak/>
        <w:t xml:space="preserve">Awarded ILTCR MWs from </w:t>
      </w:r>
      <w:r w:rsidR="00E55C47" w:rsidRPr="00C75D5C">
        <w:rPr>
          <w:rFonts w:asciiTheme="minorHAnsi" w:hAnsiTheme="minorHAnsi" w:cstheme="minorHAnsi"/>
          <w:color w:val="000000"/>
          <w:sz w:val="22"/>
          <w:szCs w:val="22"/>
        </w:rPr>
        <w:t>c</w:t>
      </w:r>
      <w:r w:rsidRPr="00C75D5C">
        <w:rPr>
          <w:rFonts w:asciiTheme="minorHAnsi" w:hAnsiTheme="minorHAnsi" w:cstheme="minorHAnsi"/>
          <w:color w:val="000000"/>
          <w:sz w:val="22"/>
          <w:szCs w:val="22"/>
        </w:rPr>
        <w:t xml:space="preserve">andidate ILTCRs are automatically converted into TCRs. The revenue received from an awarded TCR MW is determined by TCR MW * (Source </w:t>
      </w:r>
      <w:r w:rsidR="00793B1A" w:rsidRPr="00C75D5C">
        <w:rPr>
          <w:rFonts w:asciiTheme="minorHAnsi" w:hAnsiTheme="minorHAnsi" w:cstheme="minorHAnsi"/>
          <w:color w:val="000000"/>
          <w:sz w:val="22"/>
          <w:szCs w:val="22"/>
        </w:rPr>
        <w:t xml:space="preserve">Day-Ahead Market </w:t>
      </w:r>
      <w:r w:rsidR="004E432F" w:rsidRPr="00C75D5C">
        <w:rPr>
          <w:rFonts w:asciiTheme="minorHAnsi" w:hAnsiTheme="minorHAnsi" w:cstheme="minorHAnsi"/>
          <w:color w:val="000000"/>
          <w:sz w:val="22"/>
          <w:szCs w:val="22"/>
        </w:rPr>
        <w:t xml:space="preserve">Marginal Congestion Component </w:t>
      </w:r>
      <w:r w:rsidR="00793B1A" w:rsidRPr="00C75D5C">
        <w:rPr>
          <w:rFonts w:asciiTheme="minorHAnsi" w:hAnsiTheme="minorHAnsi" w:cstheme="minorHAnsi"/>
          <w:color w:val="000000"/>
          <w:sz w:val="22"/>
          <w:szCs w:val="22"/>
        </w:rPr>
        <w:t>minus</w:t>
      </w:r>
      <w:r w:rsidRPr="00C75D5C">
        <w:rPr>
          <w:rFonts w:asciiTheme="minorHAnsi" w:hAnsiTheme="minorHAnsi" w:cstheme="minorHAnsi"/>
          <w:color w:val="000000"/>
          <w:sz w:val="22"/>
          <w:szCs w:val="22"/>
        </w:rPr>
        <w:t xml:space="preserve"> Sink </w:t>
      </w:r>
      <w:r w:rsidR="00793B1A" w:rsidRPr="00C75D5C">
        <w:rPr>
          <w:rFonts w:asciiTheme="minorHAnsi" w:hAnsiTheme="minorHAnsi" w:cstheme="minorHAnsi"/>
          <w:color w:val="000000"/>
          <w:sz w:val="22"/>
          <w:szCs w:val="22"/>
        </w:rPr>
        <w:t xml:space="preserve">Day-Ahead Market </w:t>
      </w:r>
      <w:r w:rsidR="004E432F" w:rsidRPr="00C75D5C">
        <w:rPr>
          <w:rFonts w:asciiTheme="minorHAnsi" w:hAnsiTheme="minorHAnsi" w:cstheme="minorHAnsi"/>
          <w:color w:val="000000"/>
          <w:sz w:val="22"/>
          <w:szCs w:val="22"/>
        </w:rPr>
        <w:t>Marginal Congestion Component</w:t>
      </w:r>
      <w:r w:rsidRPr="00C75D5C">
        <w:rPr>
          <w:rFonts w:asciiTheme="minorHAnsi" w:hAnsiTheme="minorHAnsi" w:cstheme="minorHAnsi"/>
          <w:color w:val="000000"/>
          <w:sz w:val="22"/>
          <w:szCs w:val="22"/>
        </w:rPr>
        <w:t xml:space="preserve">). </w:t>
      </w:r>
    </w:p>
    <w:p w14:paraId="68442A24" w14:textId="77777777" w:rsidR="000328FB" w:rsidRPr="00C75D5C" w:rsidRDefault="000328FB" w:rsidP="00023FCC">
      <w:pPr>
        <w:pStyle w:val="NormalWeb"/>
        <w:spacing w:before="0" w:beforeAutospacing="0" w:after="0" w:afterAutospacing="0"/>
        <w:jc w:val="both"/>
        <w:rPr>
          <w:rFonts w:asciiTheme="minorHAnsi" w:hAnsiTheme="minorHAnsi" w:cstheme="minorHAnsi"/>
          <w:color w:val="000000"/>
          <w:sz w:val="22"/>
          <w:szCs w:val="22"/>
        </w:rPr>
      </w:pPr>
    </w:p>
    <w:p w14:paraId="1A118B43" w14:textId="389F2467" w:rsidR="000328FB" w:rsidRPr="00C75D5C" w:rsidRDefault="00023FCC" w:rsidP="00023FCC">
      <w:pPr>
        <w:pStyle w:val="NormalWeb"/>
        <w:spacing w:before="0" w:beforeAutospacing="0" w:after="120" w:afterAutospacing="0"/>
        <w:jc w:val="both"/>
        <w:rPr>
          <w:rFonts w:asciiTheme="minorHAnsi" w:hAnsiTheme="minorHAnsi" w:cstheme="minorHAnsi"/>
          <w:b/>
          <w:sz w:val="22"/>
          <w:szCs w:val="22"/>
        </w:rPr>
      </w:pPr>
      <w:r w:rsidRPr="00C75D5C">
        <w:rPr>
          <w:rFonts w:asciiTheme="minorHAnsi" w:hAnsiTheme="minorHAnsi" w:cstheme="minorHAnsi"/>
          <w:b/>
          <w:sz w:val="22"/>
          <w:szCs w:val="22"/>
        </w:rPr>
        <w:t xml:space="preserve">Q: </w:t>
      </w:r>
      <w:r w:rsidR="00160C79" w:rsidRPr="00C75D5C">
        <w:rPr>
          <w:rFonts w:asciiTheme="minorHAnsi" w:hAnsiTheme="minorHAnsi" w:cstheme="minorHAnsi"/>
          <w:b/>
          <w:sz w:val="22"/>
          <w:szCs w:val="22"/>
        </w:rPr>
        <w:t xml:space="preserve">Once an ILTCR is surrendered for a given LTCR year, is there an option to re-nominate it in coming years? If an ILTCR is not surrendered, under what other conditions does a market participant lose the right to their ILTCR? </w:t>
      </w:r>
    </w:p>
    <w:p w14:paraId="2E183733" w14:textId="2BA4910F" w:rsidR="00160C79" w:rsidRPr="00C75D5C" w:rsidRDefault="00023FCC" w:rsidP="00C75D5C">
      <w:pPr>
        <w:pStyle w:val="NormalWeb"/>
        <w:spacing w:before="0" w:beforeAutospacing="0" w:after="120" w:afterAutospacing="0"/>
        <w:jc w:val="both"/>
        <w:rPr>
          <w:rFonts w:asciiTheme="minorHAnsi" w:hAnsiTheme="minorHAnsi" w:cstheme="minorHAnsi"/>
          <w:color w:val="000000"/>
          <w:sz w:val="22"/>
          <w:szCs w:val="22"/>
        </w:rPr>
      </w:pPr>
      <w:r w:rsidRPr="00C75D5C">
        <w:rPr>
          <w:rFonts w:asciiTheme="minorHAnsi" w:hAnsiTheme="minorHAnsi" w:cstheme="minorHAnsi"/>
          <w:color w:val="000000"/>
          <w:sz w:val="22"/>
          <w:szCs w:val="22"/>
        </w:rPr>
        <w:t xml:space="preserve">A: </w:t>
      </w:r>
      <w:r w:rsidR="00160C79" w:rsidRPr="00C75D5C">
        <w:rPr>
          <w:rFonts w:asciiTheme="minorHAnsi" w:hAnsiTheme="minorHAnsi" w:cstheme="minorHAnsi"/>
          <w:color w:val="000000"/>
          <w:sz w:val="22"/>
          <w:szCs w:val="22"/>
        </w:rPr>
        <w:t>If a</w:t>
      </w:r>
      <w:r w:rsidR="00EE6674" w:rsidRPr="00C75D5C">
        <w:rPr>
          <w:rFonts w:asciiTheme="minorHAnsi" w:hAnsiTheme="minorHAnsi" w:cstheme="minorHAnsi"/>
          <w:color w:val="000000"/>
          <w:sz w:val="22"/>
          <w:szCs w:val="22"/>
        </w:rPr>
        <w:t>n MP surrenders an ILTCR MW in </w:t>
      </w:r>
      <w:r w:rsidR="00160C79" w:rsidRPr="00C75D5C">
        <w:rPr>
          <w:rFonts w:asciiTheme="minorHAnsi" w:hAnsiTheme="minorHAnsi" w:cstheme="minorHAnsi"/>
          <w:color w:val="000000"/>
          <w:sz w:val="22"/>
          <w:szCs w:val="22"/>
        </w:rPr>
        <w:t xml:space="preserve">a given year, </w:t>
      </w:r>
      <w:r w:rsidR="000000A0" w:rsidRPr="00C75D5C">
        <w:rPr>
          <w:rFonts w:asciiTheme="minorHAnsi" w:hAnsiTheme="minorHAnsi" w:cstheme="minorHAnsi"/>
          <w:color w:val="000000"/>
          <w:sz w:val="22"/>
          <w:szCs w:val="22"/>
        </w:rPr>
        <w:t>they</w:t>
      </w:r>
      <w:r w:rsidR="00160C79" w:rsidRPr="00C75D5C">
        <w:rPr>
          <w:rFonts w:asciiTheme="minorHAnsi" w:hAnsiTheme="minorHAnsi" w:cstheme="minorHAnsi"/>
          <w:color w:val="000000"/>
          <w:sz w:val="22"/>
          <w:szCs w:val="22"/>
        </w:rPr>
        <w:t xml:space="preserve"> may re-nominate it in the next year’s LTCR allocation. If an MP does not meet the </w:t>
      </w:r>
      <w:r w:rsidR="00AA23EA" w:rsidRPr="00C75D5C">
        <w:rPr>
          <w:rFonts w:asciiTheme="minorHAnsi" w:hAnsiTheme="minorHAnsi" w:cstheme="minorHAnsi"/>
          <w:color w:val="000000"/>
          <w:sz w:val="22"/>
          <w:szCs w:val="22"/>
        </w:rPr>
        <w:t xml:space="preserve">applicable </w:t>
      </w:r>
      <w:r w:rsidR="00160C79" w:rsidRPr="00C75D5C">
        <w:rPr>
          <w:rFonts w:asciiTheme="minorHAnsi" w:hAnsiTheme="minorHAnsi" w:cstheme="minorHAnsi"/>
          <w:color w:val="000000"/>
          <w:sz w:val="22"/>
          <w:szCs w:val="22"/>
        </w:rPr>
        <w:t>credit requirements</w:t>
      </w:r>
      <w:r w:rsidR="00AA23EA" w:rsidRPr="00C75D5C">
        <w:rPr>
          <w:rFonts w:asciiTheme="minorHAnsi" w:hAnsiTheme="minorHAnsi" w:cstheme="minorHAnsi"/>
          <w:color w:val="000000"/>
          <w:sz w:val="22"/>
          <w:szCs w:val="22"/>
        </w:rPr>
        <w:t xml:space="preserve"> in SPP OATT, Attachment X</w:t>
      </w:r>
      <w:r w:rsidR="00160C79" w:rsidRPr="00C75D5C">
        <w:rPr>
          <w:rFonts w:asciiTheme="minorHAnsi" w:hAnsiTheme="minorHAnsi" w:cstheme="minorHAnsi"/>
          <w:color w:val="000000"/>
          <w:sz w:val="22"/>
          <w:szCs w:val="22"/>
        </w:rPr>
        <w:t xml:space="preserve">, </w:t>
      </w:r>
      <w:r w:rsidR="000000A0" w:rsidRPr="00C75D5C">
        <w:rPr>
          <w:rFonts w:asciiTheme="minorHAnsi" w:hAnsiTheme="minorHAnsi" w:cstheme="minorHAnsi"/>
          <w:color w:val="000000"/>
          <w:sz w:val="22"/>
          <w:szCs w:val="22"/>
        </w:rPr>
        <w:t>they</w:t>
      </w:r>
      <w:r w:rsidR="00160C79" w:rsidRPr="00C75D5C">
        <w:rPr>
          <w:rFonts w:asciiTheme="minorHAnsi" w:hAnsiTheme="minorHAnsi" w:cstheme="minorHAnsi"/>
          <w:color w:val="000000"/>
          <w:sz w:val="22"/>
          <w:szCs w:val="22"/>
        </w:rPr>
        <w:t xml:space="preserve"> may lose their ILTCRs. </w:t>
      </w:r>
    </w:p>
    <w:p w14:paraId="635DAC96" w14:textId="77777777" w:rsidR="00023FCC" w:rsidRPr="00C75D5C" w:rsidRDefault="00023FCC" w:rsidP="00023FCC">
      <w:pPr>
        <w:pStyle w:val="NormalWeb"/>
        <w:spacing w:before="0" w:beforeAutospacing="0" w:after="0" w:afterAutospacing="0"/>
        <w:jc w:val="both"/>
        <w:rPr>
          <w:rFonts w:asciiTheme="minorHAnsi" w:hAnsiTheme="minorHAnsi" w:cstheme="minorHAnsi"/>
          <w:color w:val="000000"/>
          <w:sz w:val="22"/>
          <w:szCs w:val="22"/>
        </w:rPr>
      </w:pPr>
    </w:p>
    <w:p w14:paraId="1210942D" w14:textId="4D84199D" w:rsidR="000328FB" w:rsidRPr="00C75D5C" w:rsidRDefault="00023FCC" w:rsidP="00023FCC">
      <w:pPr>
        <w:pStyle w:val="NormalWeb"/>
        <w:spacing w:before="0" w:beforeAutospacing="0" w:after="120" w:afterAutospacing="0"/>
        <w:jc w:val="both"/>
        <w:rPr>
          <w:rFonts w:asciiTheme="minorHAnsi" w:hAnsiTheme="minorHAnsi" w:cstheme="minorHAnsi"/>
          <w:b/>
          <w:sz w:val="22"/>
          <w:szCs w:val="22"/>
        </w:rPr>
      </w:pPr>
      <w:r w:rsidRPr="00C75D5C">
        <w:rPr>
          <w:rFonts w:asciiTheme="minorHAnsi" w:hAnsiTheme="minorHAnsi" w:cstheme="minorHAnsi"/>
          <w:b/>
          <w:sz w:val="22"/>
          <w:szCs w:val="22"/>
        </w:rPr>
        <w:t xml:space="preserve">Q: </w:t>
      </w:r>
      <w:r w:rsidR="00F03FA4" w:rsidRPr="00C75D5C">
        <w:rPr>
          <w:rFonts w:asciiTheme="minorHAnsi" w:hAnsiTheme="minorHAnsi" w:cstheme="minorHAnsi"/>
          <w:b/>
          <w:sz w:val="22"/>
          <w:szCs w:val="22"/>
        </w:rPr>
        <w:t>How does an entity</w:t>
      </w:r>
      <w:r w:rsidR="00160C79" w:rsidRPr="00C75D5C">
        <w:rPr>
          <w:rFonts w:asciiTheme="minorHAnsi" w:hAnsiTheme="minorHAnsi" w:cstheme="minorHAnsi"/>
          <w:b/>
          <w:sz w:val="22"/>
          <w:szCs w:val="22"/>
        </w:rPr>
        <w:t xml:space="preserve"> estimate when </w:t>
      </w:r>
      <w:r w:rsidR="00F03FA4" w:rsidRPr="00C75D5C">
        <w:rPr>
          <w:rFonts w:asciiTheme="minorHAnsi" w:hAnsiTheme="minorHAnsi" w:cstheme="minorHAnsi"/>
          <w:b/>
          <w:sz w:val="22"/>
          <w:szCs w:val="22"/>
        </w:rPr>
        <w:t>a</w:t>
      </w:r>
      <w:r w:rsidR="00160C79" w:rsidRPr="00C75D5C">
        <w:rPr>
          <w:rFonts w:asciiTheme="minorHAnsi" w:hAnsiTheme="minorHAnsi" w:cstheme="minorHAnsi"/>
          <w:b/>
          <w:sz w:val="22"/>
          <w:szCs w:val="22"/>
        </w:rPr>
        <w:t xml:space="preserve"> transmission upgrade is going to be energized?</w:t>
      </w:r>
    </w:p>
    <w:p w14:paraId="6B05E02B" w14:textId="60868B9E" w:rsidR="00347ABB" w:rsidRPr="00C75D5C" w:rsidRDefault="003E398C" w:rsidP="000D0FB8">
      <w:pPr>
        <w:jc w:val="both"/>
        <w:rPr>
          <w:rFonts w:cstheme="minorHAnsi"/>
          <w:bCs/>
        </w:rPr>
      </w:pPr>
      <w:r w:rsidRPr="00C75D5C">
        <w:rPr>
          <w:rFonts w:cstheme="minorHAnsi"/>
          <w:bCs/>
        </w:rPr>
        <w:t xml:space="preserve">A: </w:t>
      </w:r>
      <w:r w:rsidR="00EC3A8C" w:rsidRPr="00C75D5C">
        <w:rPr>
          <w:rFonts w:cstheme="minorHAnsi"/>
          <w:bCs/>
        </w:rPr>
        <w:t>The b</w:t>
      </w:r>
      <w:r w:rsidR="00347ABB" w:rsidRPr="00C75D5C">
        <w:rPr>
          <w:rFonts w:cstheme="minorHAnsi"/>
          <w:bCs/>
        </w:rPr>
        <w:t>est way to estimate the energization date</w:t>
      </w:r>
      <w:r w:rsidR="00A37AFA" w:rsidRPr="00C75D5C">
        <w:rPr>
          <w:rFonts w:cstheme="minorHAnsi"/>
          <w:bCs/>
        </w:rPr>
        <w:t xml:space="preserve"> for a S</w:t>
      </w:r>
      <w:r w:rsidR="00347ABB" w:rsidRPr="00C75D5C">
        <w:rPr>
          <w:rFonts w:cstheme="minorHAnsi"/>
          <w:bCs/>
        </w:rPr>
        <w:t xml:space="preserve">ervice </w:t>
      </w:r>
      <w:r w:rsidR="00A37AFA" w:rsidRPr="00C75D5C">
        <w:rPr>
          <w:rFonts w:cstheme="minorHAnsi"/>
          <w:bCs/>
        </w:rPr>
        <w:t>U</w:t>
      </w:r>
      <w:r w:rsidR="00347ABB" w:rsidRPr="00C75D5C">
        <w:rPr>
          <w:rFonts w:cstheme="minorHAnsi"/>
          <w:bCs/>
        </w:rPr>
        <w:t xml:space="preserve">pgrade or </w:t>
      </w:r>
      <w:r w:rsidR="00A37AFA" w:rsidRPr="00C75D5C">
        <w:rPr>
          <w:rFonts w:cstheme="minorHAnsi"/>
          <w:bCs/>
        </w:rPr>
        <w:t>S</w:t>
      </w:r>
      <w:r w:rsidR="00347ABB" w:rsidRPr="00C75D5C">
        <w:rPr>
          <w:rFonts w:cstheme="minorHAnsi"/>
          <w:bCs/>
        </w:rPr>
        <w:t xml:space="preserve">ponsored </w:t>
      </w:r>
      <w:r w:rsidR="00A37AFA" w:rsidRPr="00C75D5C">
        <w:rPr>
          <w:rFonts w:cstheme="minorHAnsi"/>
          <w:bCs/>
        </w:rPr>
        <w:t>U</w:t>
      </w:r>
      <w:r w:rsidR="00347ABB" w:rsidRPr="00C75D5C">
        <w:rPr>
          <w:rFonts w:cstheme="minorHAnsi"/>
          <w:bCs/>
        </w:rPr>
        <w:t>pgrade is by referring to the NTC</w:t>
      </w:r>
      <w:r w:rsidR="00A37AFA" w:rsidRPr="00C75D5C">
        <w:rPr>
          <w:rFonts w:cstheme="minorHAnsi"/>
          <w:bCs/>
        </w:rPr>
        <w:t xml:space="preserve"> and the SPP quarterly project tracking data posted on the SPP website</w:t>
      </w:r>
      <w:r w:rsidR="00B955AB" w:rsidRPr="00C75D5C">
        <w:rPr>
          <w:rStyle w:val="FootnoteReference"/>
          <w:rFonts w:cstheme="minorHAnsi"/>
          <w:bCs/>
        </w:rPr>
        <w:footnoteReference w:id="12"/>
      </w:r>
      <w:r w:rsidR="00A37AFA" w:rsidRPr="00C75D5C">
        <w:rPr>
          <w:rFonts w:cstheme="minorHAnsi"/>
          <w:bCs/>
        </w:rPr>
        <w:t>.</w:t>
      </w:r>
    </w:p>
    <w:p w14:paraId="641AF84A" w14:textId="4BB9EDE5" w:rsidR="00C0031F" w:rsidRPr="00C75D5C" w:rsidRDefault="00EC3A8C" w:rsidP="00C75D5C">
      <w:pPr>
        <w:spacing w:after="120"/>
        <w:jc w:val="both"/>
        <w:rPr>
          <w:rFonts w:cstheme="minorHAnsi"/>
          <w:bCs/>
        </w:rPr>
      </w:pPr>
      <w:r w:rsidRPr="00C75D5C">
        <w:rPr>
          <w:rFonts w:cstheme="minorHAnsi"/>
          <w:bCs/>
        </w:rPr>
        <w:t>The b</w:t>
      </w:r>
      <w:r w:rsidR="00160C79" w:rsidRPr="00C75D5C">
        <w:rPr>
          <w:rFonts w:cstheme="minorHAnsi"/>
          <w:bCs/>
        </w:rPr>
        <w:t xml:space="preserve">est way to estimate the energization date </w:t>
      </w:r>
      <w:r w:rsidR="00A37AFA" w:rsidRPr="00C75D5C">
        <w:rPr>
          <w:rFonts w:cstheme="minorHAnsi"/>
          <w:bCs/>
        </w:rPr>
        <w:t>for a Generation Interconnection upgrade is</w:t>
      </w:r>
      <w:r w:rsidR="00160C79" w:rsidRPr="00C75D5C">
        <w:rPr>
          <w:rFonts w:cstheme="minorHAnsi"/>
          <w:bCs/>
        </w:rPr>
        <w:t xml:space="preserve"> by referring to the lead times provided in the Facility Study Summary posted on the SPP website</w:t>
      </w:r>
      <w:r w:rsidR="00B955AB" w:rsidRPr="00C75D5C">
        <w:rPr>
          <w:rStyle w:val="FootnoteReference"/>
          <w:rFonts w:cstheme="minorHAnsi"/>
          <w:bCs/>
        </w:rPr>
        <w:footnoteReference w:id="13"/>
      </w:r>
      <w:r w:rsidR="00160C79" w:rsidRPr="00C75D5C">
        <w:rPr>
          <w:rFonts w:cstheme="minorHAnsi"/>
          <w:bCs/>
        </w:rPr>
        <w:t xml:space="preserve">. However, the project timeline for </w:t>
      </w:r>
      <w:r w:rsidR="00383260" w:rsidRPr="00C75D5C">
        <w:rPr>
          <w:rFonts w:cstheme="minorHAnsi"/>
          <w:bCs/>
        </w:rPr>
        <w:t>a specific</w:t>
      </w:r>
      <w:r w:rsidR="00160C79" w:rsidRPr="00C75D5C">
        <w:rPr>
          <w:rFonts w:cstheme="minorHAnsi"/>
          <w:bCs/>
        </w:rPr>
        <w:t xml:space="preserve"> upgrade does not begin </w:t>
      </w:r>
      <w:r w:rsidR="00C0031F" w:rsidRPr="00C75D5C">
        <w:rPr>
          <w:rFonts w:cstheme="minorHAnsi"/>
          <w:bCs/>
        </w:rPr>
        <w:t xml:space="preserve">until all parties </w:t>
      </w:r>
      <w:r w:rsidR="00383260" w:rsidRPr="00C75D5C">
        <w:rPr>
          <w:rFonts w:cstheme="minorHAnsi"/>
          <w:bCs/>
        </w:rPr>
        <w:t>involved</w:t>
      </w:r>
      <w:r w:rsidR="00AD4217" w:rsidRPr="00C75D5C">
        <w:rPr>
          <w:rFonts w:cstheme="minorHAnsi"/>
          <w:bCs/>
        </w:rPr>
        <w:t xml:space="preserve"> (customer, SPP, </w:t>
      </w:r>
      <w:r w:rsidR="00AD4217" w:rsidRPr="00C75D5C">
        <w:rPr>
          <w:rFonts w:eastAsia="Times New Roman" w:cstheme="minorHAnsi"/>
          <w:color w:val="000000"/>
        </w:rPr>
        <w:t>T</w:t>
      </w:r>
      <w:r w:rsidR="00570ABE" w:rsidRPr="00C75D5C">
        <w:rPr>
          <w:rFonts w:eastAsia="Times New Roman" w:cstheme="minorHAnsi"/>
          <w:color w:val="000000"/>
        </w:rPr>
        <w:t xml:space="preserve">ransmission </w:t>
      </w:r>
      <w:r w:rsidR="00AD4217" w:rsidRPr="00C75D5C">
        <w:rPr>
          <w:rFonts w:eastAsia="Times New Roman" w:cstheme="minorHAnsi"/>
          <w:color w:val="000000"/>
        </w:rPr>
        <w:t>O</w:t>
      </w:r>
      <w:r w:rsidR="00570ABE" w:rsidRPr="00C75D5C">
        <w:rPr>
          <w:rFonts w:eastAsia="Times New Roman" w:cstheme="minorHAnsi"/>
          <w:color w:val="000000"/>
        </w:rPr>
        <w:t>wner</w:t>
      </w:r>
      <w:r w:rsidR="00AD4217" w:rsidRPr="00C75D5C">
        <w:rPr>
          <w:rFonts w:eastAsia="Times New Roman" w:cstheme="minorHAnsi"/>
          <w:color w:val="000000"/>
        </w:rPr>
        <w:t>)</w:t>
      </w:r>
      <w:r w:rsidR="00160C79" w:rsidRPr="00C75D5C">
        <w:rPr>
          <w:rFonts w:eastAsia="Times New Roman" w:cstheme="minorHAnsi"/>
          <w:color w:val="000000"/>
        </w:rPr>
        <w:t xml:space="preserve"> have a</w:t>
      </w:r>
      <w:r w:rsidR="001354EE" w:rsidRPr="00C75D5C">
        <w:rPr>
          <w:rFonts w:eastAsia="Times New Roman" w:cstheme="minorHAnsi"/>
          <w:color w:val="000000"/>
        </w:rPr>
        <w:t>n</w:t>
      </w:r>
      <w:r w:rsidR="00160C79" w:rsidRPr="00C75D5C">
        <w:rPr>
          <w:rFonts w:eastAsia="Times New Roman" w:cstheme="minorHAnsi"/>
          <w:color w:val="000000"/>
        </w:rPr>
        <w:t xml:space="preserve"> </w:t>
      </w:r>
      <w:r w:rsidR="001354EE" w:rsidRPr="00C75D5C">
        <w:rPr>
          <w:rFonts w:eastAsia="Times New Roman" w:cstheme="minorHAnsi"/>
          <w:color w:val="000000"/>
        </w:rPr>
        <w:t xml:space="preserve">executed </w:t>
      </w:r>
      <w:r w:rsidR="00965939" w:rsidRPr="00C75D5C">
        <w:rPr>
          <w:rFonts w:eastAsia="Times New Roman" w:cstheme="minorHAnsi"/>
          <w:color w:val="000000"/>
        </w:rPr>
        <w:t>Generator Interconnection Agreement</w:t>
      </w:r>
      <w:r w:rsidR="00C0031F" w:rsidRPr="00C75D5C">
        <w:rPr>
          <w:rFonts w:eastAsia="Times New Roman" w:cstheme="minorHAnsi"/>
          <w:color w:val="000000"/>
        </w:rPr>
        <w:t xml:space="preserve"> </w:t>
      </w:r>
      <w:r w:rsidR="00CC394C" w:rsidRPr="00C75D5C">
        <w:rPr>
          <w:rFonts w:eastAsia="Times New Roman" w:cstheme="minorHAnsi"/>
          <w:color w:val="000000"/>
        </w:rPr>
        <w:t>and a</w:t>
      </w:r>
      <w:r w:rsidR="00C0031F" w:rsidRPr="00C75D5C">
        <w:rPr>
          <w:rFonts w:eastAsia="Times New Roman" w:cstheme="minorHAnsi"/>
          <w:color w:val="000000"/>
        </w:rPr>
        <w:t xml:space="preserve"> s</w:t>
      </w:r>
      <w:r w:rsidR="00160C79" w:rsidRPr="00C75D5C">
        <w:rPr>
          <w:rFonts w:eastAsia="Times New Roman" w:cstheme="minorHAnsi"/>
          <w:color w:val="000000"/>
        </w:rPr>
        <w:t xml:space="preserve">hared </w:t>
      </w:r>
      <w:r w:rsidR="00C0031F" w:rsidRPr="00C75D5C">
        <w:rPr>
          <w:rFonts w:eastAsia="Times New Roman" w:cstheme="minorHAnsi"/>
          <w:color w:val="000000"/>
        </w:rPr>
        <w:t>n</w:t>
      </w:r>
      <w:r w:rsidR="00160C79" w:rsidRPr="00C75D5C">
        <w:rPr>
          <w:rFonts w:eastAsia="Times New Roman" w:cstheme="minorHAnsi"/>
          <w:color w:val="000000"/>
        </w:rPr>
        <w:t>etwork</w:t>
      </w:r>
      <w:r w:rsidR="00965939" w:rsidRPr="00C75D5C">
        <w:rPr>
          <w:rFonts w:eastAsia="Times New Roman" w:cstheme="minorHAnsi"/>
          <w:color w:val="000000"/>
        </w:rPr>
        <w:t xml:space="preserve"> upgrade</w:t>
      </w:r>
      <w:r w:rsidR="00160C79" w:rsidRPr="00C75D5C">
        <w:rPr>
          <w:rFonts w:eastAsia="Times New Roman" w:cstheme="minorHAnsi"/>
          <w:color w:val="000000"/>
        </w:rPr>
        <w:t xml:space="preserve"> </w:t>
      </w:r>
      <w:r w:rsidR="00C0031F" w:rsidRPr="00C75D5C">
        <w:rPr>
          <w:rFonts w:eastAsia="Times New Roman" w:cstheme="minorHAnsi"/>
          <w:color w:val="000000"/>
        </w:rPr>
        <w:t>a</w:t>
      </w:r>
      <w:r w:rsidR="00160C79" w:rsidRPr="00C75D5C">
        <w:rPr>
          <w:rFonts w:eastAsia="Times New Roman" w:cstheme="minorHAnsi"/>
          <w:color w:val="000000"/>
        </w:rPr>
        <w:t xml:space="preserve">greement. </w:t>
      </w:r>
      <w:r w:rsidR="00AD4217" w:rsidRPr="00C75D5C">
        <w:rPr>
          <w:rFonts w:eastAsia="Times New Roman" w:cstheme="minorHAnsi"/>
          <w:color w:val="000000"/>
        </w:rPr>
        <w:t>Additionally, s</w:t>
      </w:r>
      <w:r w:rsidR="00160C79" w:rsidRPr="00C75D5C">
        <w:rPr>
          <w:rFonts w:eastAsia="Times New Roman" w:cstheme="minorHAnsi"/>
          <w:color w:val="000000"/>
        </w:rPr>
        <w:t xml:space="preserve">ince there is potential for a customer to delay execution of </w:t>
      </w:r>
      <w:r w:rsidR="002E3DA5" w:rsidRPr="00C75D5C">
        <w:rPr>
          <w:rFonts w:eastAsia="Times New Roman" w:cstheme="minorHAnsi"/>
          <w:color w:val="000000"/>
        </w:rPr>
        <w:t xml:space="preserve">their </w:t>
      </w:r>
      <w:r w:rsidR="00C0031F" w:rsidRPr="00C75D5C">
        <w:rPr>
          <w:rFonts w:eastAsia="Times New Roman" w:cstheme="minorHAnsi"/>
          <w:color w:val="000000"/>
        </w:rPr>
        <w:t>service agreement</w:t>
      </w:r>
      <w:r w:rsidR="00160C79" w:rsidRPr="00C75D5C">
        <w:rPr>
          <w:rFonts w:eastAsia="Times New Roman" w:cstheme="minorHAnsi"/>
          <w:color w:val="000000"/>
        </w:rPr>
        <w:t xml:space="preserve"> or withdraw completely, </w:t>
      </w:r>
      <w:r w:rsidR="002E3DA5" w:rsidRPr="00C75D5C">
        <w:rPr>
          <w:rFonts w:eastAsia="Times New Roman" w:cstheme="minorHAnsi"/>
          <w:color w:val="000000"/>
        </w:rPr>
        <w:t xml:space="preserve">estimated </w:t>
      </w:r>
      <w:r w:rsidR="00160C79" w:rsidRPr="00C75D5C">
        <w:rPr>
          <w:rFonts w:eastAsia="Times New Roman" w:cstheme="minorHAnsi"/>
          <w:color w:val="000000"/>
        </w:rPr>
        <w:t>energization timeline</w:t>
      </w:r>
      <w:r w:rsidR="002E3DA5" w:rsidRPr="00C75D5C">
        <w:rPr>
          <w:rFonts w:eastAsia="Times New Roman" w:cstheme="minorHAnsi"/>
          <w:color w:val="000000"/>
        </w:rPr>
        <w:t>s</w:t>
      </w:r>
      <w:r w:rsidR="00160C79" w:rsidRPr="00C75D5C">
        <w:rPr>
          <w:rFonts w:eastAsia="Times New Roman" w:cstheme="minorHAnsi"/>
          <w:color w:val="000000"/>
        </w:rPr>
        <w:t xml:space="preserve"> </w:t>
      </w:r>
      <w:r w:rsidR="002E3DA5" w:rsidRPr="00C75D5C">
        <w:rPr>
          <w:rFonts w:eastAsia="Times New Roman" w:cstheme="minorHAnsi"/>
          <w:color w:val="000000"/>
        </w:rPr>
        <w:t>should be considered</w:t>
      </w:r>
      <w:r w:rsidR="00160C79" w:rsidRPr="00C75D5C">
        <w:rPr>
          <w:rFonts w:eastAsia="Times New Roman" w:cstheme="minorHAnsi"/>
          <w:color w:val="000000"/>
        </w:rPr>
        <w:t xml:space="preserve"> tentative. </w:t>
      </w:r>
    </w:p>
    <w:p w14:paraId="4B929740" w14:textId="77777777" w:rsidR="00160C79" w:rsidRPr="00C75D5C" w:rsidRDefault="00160C79" w:rsidP="00023FCC">
      <w:pPr>
        <w:spacing w:after="0"/>
        <w:jc w:val="both"/>
        <w:rPr>
          <w:rFonts w:cstheme="minorHAnsi"/>
        </w:rPr>
      </w:pPr>
    </w:p>
    <w:p w14:paraId="494045A3" w14:textId="234AD971" w:rsidR="006A1C8E" w:rsidRPr="00C75D5C" w:rsidRDefault="003E398C" w:rsidP="003E398C">
      <w:pPr>
        <w:pStyle w:val="NormalWeb"/>
        <w:spacing w:before="0" w:beforeAutospacing="0" w:after="120" w:afterAutospacing="0"/>
        <w:jc w:val="both"/>
        <w:rPr>
          <w:rFonts w:asciiTheme="minorHAnsi" w:hAnsiTheme="minorHAnsi" w:cstheme="minorHAnsi"/>
          <w:b/>
          <w:sz w:val="22"/>
          <w:szCs w:val="22"/>
        </w:rPr>
      </w:pPr>
      <w:r w:rsidRPr="00C75D5C">
        <w:rPr>
          <w:rFonts w:asciiTheme="minorHAnsi" w:hAnsiTheme="minorHAnsi" w:cstheme="minorHAnsi"/>
          <w:b/>
          <w:sz w:val="22"/>
          <w:szCs w:val="22"/>
        </w:rPr>
        <w:t xml:space="preserve">Q: </w:t>
      </w:r>
      <w:r w:rsidR="006A1C8E" w:rsidRPr="00C75D5C">
        <w:rPr>
          <w:rFonts w:asciiTheme="minorHAnsi" w:hAnsiTheme="minorHAnsi" w:cstheme="minorHAnsi"/>
          <w:b/>
          <w:sz w:val="22"/>
          <w:szCs w:val="22"/>
        </w:rPr>
        <w:t>Is the entity requesting service responsible for the cost associated with ILTCR studies?</w:t>
      </w:r>
    </w:p>
    <w:p w14:paraId="68946FA0" w14:textId="3FC66B8A" w:rsidR="00732ACF" w:rsidRPr="00C75D5C" w:rsidRDefault="003E398C" w:rsidP="00C75D5C">
      <w:pPr>
        <w:spacing w:after="120"/>
        <w:jc w:val="both"/>
        <w:rPr>
          <w:rFonts w:cstheme="minorHAnsi"/>
        </w:rPr>
      </w:pPr>
      <w:r w:rsidRPr="00C75D5C">
        <w:rPr>
          <w:rFonts w:cstheme="minorHAnsi"/>
          <w:bCs/>
        </w:rPr>
        <w:t xml:space="preserve">A: </w:t>
      </w:r>
      <w:r w:rsidR="00160C79" w:rsidRPr="00C75D5C">
        <w:rPr>
          <w:rFonts w:cstheme="minorHAnsi"/>
          <w:bCs/>
        </w:rPr>
        <w:t xml:space="preserve">SPP will capture the billable time used for the ILTCR study </w:t>
      </w:r>
      <w:r w:rsidR="009B347D" w:rsidRPr="00C75D5C">
        <w:rPr>
          <w:rFonts w:cstheme="minorHAnsi"/>
          <w:bCs/>
        </w:rPr>
        <w:t>as</w:t>
      </w:r>
      <w:r w:rsidR="00160C79" w:rsidRPr="00C75D5C">
        <w:rPr>
          <w:rFonts w:cstheme="minorHAnsi"/>
          <w:bCs/>
        </w:rPr>
        <w:t xml:space="preserve"> it does with the rest of the </w:t>
      </w:r>
      <w:r w:rsidR="009B347D" w:rsidRPr="00C75D5C">
        <w:rPr>
          <w:rFonts w:cstheme="minorHAnsi"/>
          <w:bCs/>
        </w:rPr>
        <w:t>applicable</w:t>
      </w:r>
      <w:r w:rsidR="00160C79" w:rsidRPr="00C75D5C">
        <w:rPr>
          <w:rFonts w:cstheme="minorHAnsi"/>
          <w:bCs/>
        </w:rPr>
        <w:t xml:space="preserve"> studies. </w:t>
      </w:r>
      <w:r w:rsidR="00FB1BD4" w:rsidRPr="00C75D5C">
        <w:rPr>
          <w:rFonts w:cstheme="minorHAnsi"/>
          <w:bCs/>
        </w:rPr>
        <w:t>SPP</w:t>
      </w:r>
      <w:r w:rsidR="00160C79" w:rsidRPr="00C75D5C">
        <w:rPr>
          <w:rFonts w:cstheme="minorHAnsi"/>
          <w:bCs/>
        </w:rPr>
        <w:t xml:space="preserve"> will aggregate all of the requests in the study and bill the time against that group. The study deposits provided </w:t>
      </w:r>
      <w:r w:rsidR="009B347D" w:rsidRPr="00C75D5C">
        <w:rPr>
          <w:rFonts w:cstheme="minorHAnsi"/>
          <w:bCs/>
        </w:rPr>
        <w:t xml:space="preserve">to enter </w:t>
      </w:r>
      <w:r w:rsidR="004949C6" w:rsidRPr="00C75D5C">
        <w:rPr>
          <w:rFonts w:cstheme="minorHAnsi"/>
          <w:bCs/>
        </w:rPr>
        <w:t>the</w:t>
      </w:r>
      <w:r w:rsidR="006A1C8E" w:rsidRPr="00C75D5C">
        <w:rPr>
          <w:rFonts w:cstheme="minorHAnsi"/>
          <w:bCs/>
        </w:rPr>
        <w:t xml:space="preserve"> applicable </w:t>
      </w:r>
      <w:r w:rsidR="009B347D" w:rsidRPr="00C75D5C">
        <w:rPr>
          <w:rFonts w:cstheme="minorHAnsi"/>
          <w:bCs/>
        </w:rPr>
        <w:t xml:space="preserve">study </w:t>
      </w:r>
      <w:r w:rsidR="00160C79" w:rsidRPr="00C75D5C">
        <w:rPr>
          <w:rFonts w:cstheme="minorHAnsi"/>
          <w:bCs/>
        </w:rPr>
        <w:t>would be used to cover th</w:t>
      </w:r>
      <w:r w:rsidR="006A1C8E" w:rsidRPr="00C75D5C">
        <w:rPr>
          <w:rFonts w:cstheme="minorHAnsi"/>
          <w:bCs/>
        </w:rPr>
        <w:t>e ILTCR analysis portion</w:t>
      </w:r>
      <w:r w:rsidR="00160C79" w:rsidRPr="00C75D5C">
        <w:rPr>
          <w:rFonts w:cstheme="minorHAnsi"/>
          <w:bCs/>
        </w:rPr>
        <w:t xml:space="preserve">. </w:t>
      </w:r>
    </w:p>
    <w:sectPr w:rsidR="00732ACF" w:rsidRPr="00C75D5C" w:rsidSect="00031441">
      <w:pgSz w:w="12240" w:h="15840"/>
      <w:pgMar w:top="720" w:right="1440" w:bottom="72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91EE1" w16cex:dateUtc="2020-12-08T03: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82D789" w16cid:durableId="23791E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8E3D6" w14:textId="77777777" w:rsidR="00115DA2" w:rsidRDefault="00115DA2" w:rsidP="00CB7E06">
      <w:pPr>
        <w:spacing w:after="0" w:line="240" w:lineRule="auto"/>
      </w:pPr>
      <w:r>
        <w:separator/>
      </w:r>
    </w:p>
  </w:endnote>
  <w:endnote w:type="continuationSeparator" w:id="0">
    <w:p w14:paraId="3B4CB078" w14:textId="77777777" w:rsidR="00115DA2" w:rsidRDefault="00115DA2" w:rsidP="00CB7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ABE70" w14:textId="77777777" w:rsidR="00115DA2" w:rsidRDefault="00115DA2" w:rsidP="00CB7E06">
      <w:pPr>
        <w:spacing w:after="0" w:line="240" w:lineRule="auto"/>
      </w:pPr>
      <w:r>
        <w:separator/>
      </w:r>
    </w:p>
  </w:footnote>
  <w:footnote w:type="continuationSeparator" w:id="0">
    <w:p w14:paraId="486FD271" w14:textId="77777777" w:rsidR="00115DA2" w:rsidRDefault="00115DA2" w:rsidP="00CB7E06">
      <w:pPr>
        <w:spacing w:after="0" w:line="240" w:lineRule="auto"/>
      </w:pPr>
      <w:r>
        <w:continuationSeparator/>
      </w:r>
    </w:p>
  </w:footnote>
  <w:footnote w:id="1">
    <w:p w14:paraId="701E3542" w14:textId="252C0758" w:rsidR="00965939" w:rsidRDefault="00965939">
      <w:pPr>
        <w:pStyle w:val="FootnoteText"/>
      </w:pPr>
      <w:r>
        <w:rPr>
          <w:rStyle w:val="FootnoteReference"/>
        </w:rPr>
        <w:footnoteRef/>
      </w:r>
      <w:r>
        <w:t xml:space="preserve"> </w:t>
      </w:r>
      <w:r w:rsidRPr="00965939">
        <w:rPr>
          <w:sz w:val="18"/>
          <w:szCs w:val="18"/>
        </w:rPr>
        <w:t>Applicable service agreements include (but is not limited to) Generation Interconnection Agreements, transmission service agreements, and Sponsored Upgrade Agreements.</w:t>
      </w:r>
    </w:p>
  </w:footnote>
  <w:footnote w:id="2">
    <w:p w14:paraId="1FCF8A75" w14:textId="15519FBD" w:rsidR="005A4DDD" w:rsidRDefault="005A4DDD">
      <w:pPr>
        <w:pStyle w:val="FootnoteText"/>
      </w:pPr>
      <w:r>
        <w:rPr>
          <w:rStyle w:val="FootnoteReference"/>
        </w:rPr>
        <w:footnoteRef/>
      </w:r>
      <w:r>
        <w:t xml:space="preserve"> </w:t>
      </w:r>
      <w:r w:rsidRPr="005A4DDD">
        <w:rPr>
          <w:sz w:val="18"/>
        </w:rPr>
        <w:t>IMP Protocols 78 (https://spp.org/spp-documents-filings/?id=20867)</w:t>
      </w:r>
      <w:r w:rsidR="00AA23EA">
        <w:rPr>
          <w:sz w:val="18"/>
        </w:rPr>
        <w:t>.</w:t>
      </w:r>
    </w:p>
  </w:footnote>
  <w:footnote w:id="3">
    <w:p w14:paraId="35D1DEDC" w14:textId="7769D0DA" w:rsidR="00B02A36" w:rsidRDefault="00B02A36">
      <w:pPr>
        <w:pStyle w:val="FootnoteText"/>
      </w:pPr>
      <w:r>
        <w:rPr>
          <w:rStyle w:val="FootnoteReference"/>
        </w:rPr>
        <w:footnoteRef/>
      </w:r>
      <w:r>
        <w:t xml:space="preserve"> </w:t>
      </w:r>
      <w:r w:rsidRPr="008665DF">
        <w:rPr>
          <w:sz w:val="18"/>
        </w:rPr>
        <w:t xml:space="preserve">Join SPP </w:t>
      </w:r>
      <w:r w:rsidR="00031441">
        <w:rPr>
          <w:sz w:val="18"/>
        </w:rPr>
        <w:t>(</w:t>
      </w:r>
      <w:hyperlink r:id="rId1" w:history="1">
        <w:r w:rsidRPr="008665DF">
          <w:rPr>
            <w:rStyle w:val="Hyperlink"/>
            <w:sz w:val="18"/>
          </w:rPr>
          <w:t>https://spp.org/stakeholder-center/join-spp/</w:t>
        </w:r>
      </w:hyperlink>
      <w:r w:rsidR="00031441">
        <w:rPr>
          <w:sz w:val="18"/>
        </w:rPr>
        <w:t>)</w:t>
      </w:r>
      <w:r w:rsidR="00AA23EA">
        <w:rPr>
          <w:sz w:val="18"/>
        </w:rPr>
        <w:t>.</w:t>
      </w:r>
    </w:p>
  </w:footnote>
  <w:footnote w:id="4">
    <w:p w14:paraId="4047D942" w14:textId="371F9895" w:rsidR="000B038F" w:rsidRPr="00393764" w:rsidRDefault="000B038F">
      <w:pPr>
        <w:pStyle w:val="FootnoteText"/>
        <w:rPr>
          <w:sz w:val="18"/>
        </w:rPr>
      </w:pPr>
      <w:r>
        <w:rPr>
          <w:rStyle w:val="FootnoteReference"/>
        </w:rPr>
        <w:footnoteRef/>
      </w:r>
      <w:r>
        <w:t xml:space="preserve"> </w:t>
      </w:r>
      <w:r w:rsidRPr="00357DCB">
        <w:rPr>
          <w:sz w:val="18"/>
        </w:rPr>
        <w:t>Sponsored Upgrade Guidelines and FAQ (</w:t>
      </w:r>
      <w:hyperlink r:id="rId2" w:history="1">
        <w:r w:rsidRPr="00357DCB">
          <w:rPr>
            <w:rStyle w:val="Hyperlink"/>
            <w:sz w:val="18"/>
          </w:rPr>
          <w:t>https://spp.org/spp-documents-filings/?id=19457</w:t>
        </w:r>
      </w:hyperlink>
      <w:r w:rsidRPr="00357DCB">
        <w:rPr>
          <w:sz w:val="18"/>
        </w:rPr>
        <w:t>)</w:t>
      </w:r>
      <w:r w:rsidR="00AA23EA">
        <w:rPr>
          <w:sz w:val="18"/>
        </w:rPr>
        <w:t>.</w:t>
      </w:r>
    </w:p>
  </w:footnote>
  <w:footnote w:id="5">
    <w:p w14:paraId="56179E44" w14:textId="522D4B25" w:rsidR="00393764" w:rsidRDefault="00393764">
      <w:pPr>
        <w:pStyle w:val="FootnoteText"/>
      </w:pPr>
      <w:r w:rsidRPr="00393764">
        <w:rPr>
          <w:rStyle w:val="FootnoteReference"/>
          <w:sz w:val="18"/>
        </w:rPr>
        <w:footnoteRef/>
      </w:r>
      <w:r w:rsidRPr="00393764">
        <w:rPr>
          <w:sz w:val="18"/>
        </w:rPr>
        <w:t xml:space="preserve"> </w:t>
      </w:r>
      <w:r>
        <w:rPr>
          <w:sz w:val="18"/>
        </w:rPr>
        <w:t xml:space="preserve">Slides 5, 6, and 7 of </w:t>
      </w:r>
      <w:hyperlink r:id="rId3" w:history="1">
        <w:r w:rsidRPr="00393764">
          <w:rPr>
            <w:rStyle w:val="Hyperlink"/>
            <w:sz w:val="18"/>
          </w:rPr>
          <w:t xml:space="preserve">ILTCR in the GI Process Presentation </w:t>
        </w:r>
      </w:hyperlink>
      <w:r w:rsidRPr="00393764">
        <w:rPr>
          <w:sz w:val="18"/>
        </w:rPr>
        <w:t xml:space="preserve"> (</w:t>
      </w:r>
      <w:hyperlink r:id="rId4" w:history="1">
        <w:r w:rsidRPr="00393764">
          <w:rPr>
            <w:rStyle w:val="Hyperlink"/>
            <w:sz w:val="18"/>
          </w:rPr>
          <w:t>https://spp.org/spp-documents-filings/?id=208281</w:t>
        </w:r>
      </w:hyperlink>
      <w:r w:rsidRPr="00393764">
        <w:rPr>
          <w:sz w:val="18"/>
        </w:rPr>
        <w:t>)</w:t>
      </w:r>
      <w:r w:rsidR="00AA23EA">
        <w:rPr>
          <w:sz w:val="18"/>
        </w:rPr>
        <w:t>.</w:t>
      </w:r>
      <w:r w:rsidRPr="00393764">
        <w:rPr>
          <w:sz w:val="18"/>
        </w:rPr>
        <w:t xml:space="preserve"> </w:t>
      </w:r>
    </w:p>
  </w:footnote>
  <w:footnote w:id="6">
    <w:p w14:paraId="0CC74D42" w14:textId="2EA89B11" w:rsidR="00393764" w:rsidRDefault="00393764">
      <w:pPr>
        <w:pStyle w:val="FootnoteText"/>
      </w:pPr>
      <w:r w:rsidRPr="00393764">
        <w:rPr>
          <w:rStyle w:val="FootnoteReference"/>
          <w:sz w:val="18"/>
        </w:rPr>
        <w:footnoteRef/>
      </w:r>
      <w:r w:rsidRPr="00393764">
        <w:rPr>
          <w:sz w:val="18"/>
        </w:rPr>
        <w:t xml:space="preserve"> Day-Ahead Market </w:t>
      </w:r>
      <w:r w:rsidR="005040B4">
        <w:rPr>
          <w:sz w:val="18"/>
        </w:rPr>
        <w:t>Locational Marginal Price by Location History</w:t>
      </w:r>
      <w:r w:rsidRPr="00393764">
        <w:rPr>
          <w:sz w:val="18"/>
        </w:rPr>
        <w:t xml:space="preserve"> (</w:t>
      </w:r>
      <w:hyperlink r:id="rId5" w:history="1">
        <w:r w:rsidRPr="00393764">
          <w:rPr>
            <w:rStyle w:val="Hyperlink"/>
            <w:sz w:val="18"/>
          </w:rPr>
          <w:t>https://marketplace.spp.org/pages/da-lmp-by-location</w:t>
        </w:r>
      </w:hyperlink>
      <w:r w:rsidRPr="00393764">
        <w:rPr>
          <w:sz w:val="18"/>
        </w:rPr>
        <w:t>)</w:t>
      </w:r>
      <w:r w:rsidR="00AA23EA">
        <w:rPr>
          <w:sz w:val="18"/>
        </w:rPr>
        <w:t>.</w:t>
      </w:r>
    </w:p>
  </w:footnote>
  <w:footnote w:id="7">
    <w:p w14:paraId="0E90579A" w14:textId="43454BA6" w:rsidR="00F84153" w:rsidRPr="00FE0DD9" w:rsidRDefault="00F84153">
      <w:pPr>
        <w:pStyle w:val="FootnoteText"/>
        <w:rPr>
          <w:sz w:val="18"/>
        </w:rPr>
      </w:pPr>
      <w:r>
        <w:rPr>
          <w:rStyle w:val="FootnoteReference"/>
        </w:rPr>
        <w:footnoteRef/>
      </w:r>
      <w:r>
        <w:t xml:space="preserve"> </w:t>
      </w:r>
      <w:r w:rsidRPr="00FE0DD9">
        <w:rPr>
          <w:sz w:val="18"/>
        </w:rPr>
        <w:t>SPP OATT, Attachment Z1, Section IV.</w:t>
      </w:r>
    </w:p>
  </w:footnote>
  <w:footnote w:id="8">
    <w:p w14:paraId="3DBC8068" w14:textId="48441C69" w:rsidR="003B4458" w:rsidRPr="00FE0DD9" w:rsidRDefault="003B4458">
      <w:pPr>
        <w:pStyle w:val="FootnoteText"/>
        <w:rPr>
          <w:sz w:val="18"/>
        </w:rPr>
      </w:pPr>
      <w:r w:rsidRPr="00FE0DD9">
        <w:rPr>
          <w:rStyle w:val="FootnoteReference"/>
          <w:sz w:val="18"/>
        </w:rPr>
        <w:footnoteRef/>
      </w:r>
      <w:r w:rsidRPr="00FE0DD9">
        <w:rPr>
          <w:sz w:val="18"/>
        </w:rPr>
        <w:t xml:space="preserve"> SPP OATT, Attachment J, Section V(A) – (C); SPP OATT, Attachment J, Schedule 1)</w:t>
      </w:r>
    </w:p>
  </w:footnote>
  <w:footnote w:id="9">
    <w:p w14:paraId="013805F6" w14:textId="524AA6E6" w:rsidR="00F84153" w:rsidRPr="00FE0DD9" w:rsidRDefault="00F84153">
      <w:pPr>
        <w:pStyle w:val="FootnoteText"/>
        <w:rPr>
          <w:sz w:val="18"/>
        </w:rPr>
      </w:pPr>
      <w:r w:rsidRPr="00FE0DD9">
        <w:rPr>
          <w:rStyle w:val="FootnoteReference"/>
          <w:sz w:val="18"/>
        </w:rPr>
        <w:footnoteRef/>
      </w:r>
      <w:r w:rsidRPr="00FE0DD9">
        <w:rPr>
          <w:sz w:val="18"/>
        </w:rPr>
        <w:t xml:space="preserve"> Request Management System (</w:t>
      </w:r>
      <w:hyperlink r:id="rId6" w:history="1">
        <w:r w:rsidR="00DA58B3" w:rsidRPr="00A85FC9">
          <w:rPr>
            <w:rStyle w:val="Hyperlink"/>
            <w:sz w:val="18"/>
          </w:rPr>
          <w:t>https://www.spp.org/stakeholder-center/customer-relations/request-management-system/</w:t>
        </w:r>
      </w:hyperlink>
      <w:r w:rsidRPr="00FE0DD9">
        <w:rPr>
          <w:sz w:val="18"/>
        </w:rPr>
        <w:t>).</w:t>
      </w:r>
    </w:p>
  </w:footnote>
  <w:footnote w:id="10">
    <w:p w14:paraId="52172D0B" w14:textId="430D658D" w:rsidR="003B4458" w:rsidRDefault="003B4458">
      <w:pPr>
        <w:pStyle w:val="FootnoteText"/>
      </w:pPr>
      <w:r w:rsidRPr="00FE0DD9">
        <w:rPr>
          <w:rStyle w:val="FootnoteReference"/>
          <w:sz w:val="18"/>
        </w:rPr>
        <w:footnoteRef/>
      </w:r>
      <w:r w:rsidRPr="00FE0DD9">
        <w:rPr>
          <w:sz w:val="18"/>
        </w:rPr>
        <w:t xml:space="preserve"> SPP OATT, Attachment AE, Section 7.2.5.</w:t>
      </w:r>
    </w:p>
  </w:footnote>
  <w:footnote w:id="11">
    <w:p w14:paraId="3C45772D" w14:textId="1D0F4FC4" w:rsidR="00AA23EA" w:rsidRDefault="00AA23EA">
      <w:pPr>
        <w:pStyle w:val="FootnoteText"/>
      </w:pPr>
      <w:r>
        <w:rPr>
          <w:rStyle w:val="FootnoteReference"/>
        </w:rPr>
        <w:footnoteRef/>
      </w:r>
      <w:r>
        <w:t xml:space="preserve"> </w:t>
      </w:r>
      <w:r w:rsidRPr="00C95E60">
        <w:rPr>
          <w:sz w:val="18"/>
        </w:rPr>
        <w:t>SPP OATT, Attachment AE, Section 7.2.1.</w:t>
      </w:r>
    </w:p>
  </w:footnote>
  <w:footnote w:id="12">
    <w:p w14:paraId="3DFF8C18" w14:textId="453E02AC" w:rsidR="00B955AB" w:rsidRPr="00DA58B3" w:rsidRDefault="00B955AB">
      <w:pPr>
        <w:pStyle w:val="FootnoteText"/>
        <w:rPr>
          <w:sz w:val="18"/>
          <w:szCs w:val="18"/>
        </w:rPr>
      </w:pPr>
      <w:r w:rsidRPr="00DA58B3">
        <w:rPr>
          <w:rStyle w:val="FootnoteReference"/>
          <w:sz w:val="18"/>
          <w:szCs w:val="18"/>
        </w:rPr>
        <w:footnoteRef/>
      </w:r>
      <w:r w:rsidRPr="00DA58B3">
        <w:rPr>
          <w:sz w:val="18"/>
          <w:szCs w:val="18"/>
        </w:rPr>
        <w:t xml:space="preserve"> Project Tracking &amp; NTC (</w:t>
      </w:r>
      <w:hyperlink r:id="rId7" w:history="1">
        <w:r w:rsidR="007E1A1E" w:rsidRPr="00213A25">
          <w:rPr>
            <w:rStyle w:val="Hyperlink"/>
            <w:sz w:val="18"/>
            <w:szCs w:val="18"/>
          </w:rPr>
          <w:t>https://spp.org/engineering/project-tracking-ntcs/</w:t>
        </w:r>
      </w:hyperlink>
      <w:r w:rsidRPr="00DA58B3">
        <w:rPr>
          <w:sz w:val="18"/>
          <w:szCs w:val="18"/>
        </w:rPr>
        <w:t>)</w:t>
      </w:r>
      <w:r w:rsidR="00AA23EA" w:rsidRPr="00DA58B3">
        <w:rPr>
          <w:sz w:val="18"/>
          <w:szCs w:val="18"/>
        </w:rPr>
        <w:t>.</w:t>
      </w:r>
    </w:p>
  </w:footnote>
  <w:footnote w:id="13">
    <w:p w14:paraId="20FE9F91" w14:textId="2F4F18C5" w:rsidR="00B955AB" w:rsidRDefault="00B955AB">
      <w:pPr>
        <w:pStyle w:val="FootnoteText"/>
      </w:pPr>
      <w:r w:rsidRPr="00DA58B3">
        <w:rPr>
          <w:rStyle w:val="FootnoteReference"/>
          <w:sz w:val="18"/>
          <w:szCs w:val="18"/>
        </w:rPr>
        <w:footnoteRef/>
      </w:r>
      <w:r w:rsidRPr="00DA58B3">
        <w:rPr>
          <w:sz w:val="18"/>
          <w:szCs w:val="18"/>
        </w:rPr>
        <w:t xml:space="preserve"> </w:t>
      </w:r>
      <w:r w:rsidR="005602C7" w:rsidRPr="00DA58B3">
        <w:rPr>
          <w:sz w:val="18"/>
          <w:szCs w:val="18"/>
        </w:rPr>
        <w:t xml:space="preserve">Facility Study Summary </w:t>
      </w:r>
      <w:r w:rsidR="005602C7" w:rsidRPr="00DA58B3">
        <w:rPr>
          <w:sz w:val="18"/>
          <w:szCs w:val="18"/>
        </w:rPr>
        <w:t>(</w:t>
      </w:r>
      <w:hyperlink r:id="rId8" w:history="1">
        <w:r w:rsidR="007E1A1E" w:rsidRPr="00213A25">
          <w:rPr>
            <w:rStyle w:val="Hyperlink"/>
            <w:sz w:val="18"/>
            <w:szCs w:val="18"/>
          </w:rPr>
          <w:t>http://opsportal.spp.org/Studies/Gen</w:t>
        </w:r>
      </w:hyperlink>
      <w:bookmarkStart w:id="0" w:name="_GoBack"/>
      <w:bookmarkEnd w:id="0"/>
      <w:r w:rsidR="005602C7" w:rsidRPr="00DA58B3">
        <w:rPr>
          <w:sz w:val="18"/>
          <w:szCs w:val="18"/>
        </w:rPr>
        <w:t>)</w:t>
      </w:r>
      <w:r w:rsidR="00AA23EA" w:rsidRPr="00DA58B3">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B0C97"/>
    <w:multiLevelType w:val="hybridMultilevel"/>
    <w:tmpl w:val="1FFE9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B86170A"/>
    <w:multiLevelType w:val="hybridMultilevel"/>
    <w:tmpl w:val="9CE0DF4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7DF"/>
    <w:rsid w:val="000000A0"/>
    <w:rsid w:val="00023FCC"/>
    <w:rsid w:val="00031441"/>
    <w:rsid w:val="00031F80"/>
    <w:rsid w:val="000328FB"/>
    <w:rsid w:val="00033CDA"/>
    <w:rsid w:val="000406E8"/>
    <w:rsid w:val="00054326"/>
    <w:rsid w:val="000553DB"/>
    <w:rsid w:val="00055FA3"/>
    <w:rsid w:val="000624F6"/>
    <w:rsid w:val="00074C19"/>
    <w:rsid w:val="000B038F"/>
    <w:rsid w:val="000D0FB8"/>
    <w:rsid w:val="000D1E78"/>
    <w:rsid w:val="000D3854"/>
    <w:rsid w:val="00105217"/>
    <w:rsid w:val="001057DF"/>
    <w:rsid w:val="0010703E"/>
    <w:rsid w:val="00115DA2"/>
    <w:rsid w:val="001227D1"/>
    <w:rsid w:val="001354EE"/>
    <w:rsid w:val="001504B0"/>
    <w:rsid w:val="00160C79"/>
    <w:rsid w:val="00175D92"/>
    <w:rsid w:val="001A3BB5"/>
    <w:rsid w:val="001A68A8"/>
    <w:rsid w:val="001C34B7"/>
    <w:rsid w:val="00201E98"/>
    <w:rsid w:val="00210DBE"/>
    <w:rsid w:val="00211EFB"/>
    <w:rsid w:val="00216148"/>
    <w:rsid w:val="002400AE"/>
    <w:rsid w:val="002423F3"/>
    <w:rsid w:val="00242675"/>
    <w:rsid w:val="00247404"/>
    <w:rsid w:val="002515F2"/>
    <w:rsid w:val="00261254"/>
    <w:rsid w:val="0026748F"/>
    <w:rsid w:val="00286722"/>
    <w:rsid w:val="00292732"/>
    <w:rsid w:val="002B1352"/>
    <w:rsid w:val="002E3DA5"/>
    <w:rsid w:val="0030467C"/>
    <w:rsid w:val="00304EAA"/>
    <w:rsid w:val="00306D34"/>
    <w:rsid w:val="0030788F"/>
    <w:rsid w:val="00317232"/>
    <w:rsid w:val="0032327B"/>
    <w:rsid w:val="00326756"/>
    <w:rsid w:val="0033624F"/>
    <w:rsid w:val="003443D0"/>
    <w:rsid w:val="00347ABB"/>
    <w:rsid w:val="003576A5"/>
    <w:rsid w:val="00357DCB"/>
    <w:rsid w:val="00383260"/>
    <w:rsid w:val="00393764"/>
    <w:rsid w:val="003B4458"/>
    <w:rsid w:val="003C318B"/>
    <w:rsid w:val="003E215D"/>
    <w:rsid w:val="003E2FDE"/>
    <w:rsid w:val="003E398C"/>
    <w:rsid w:val="003E51EC"/>
    <w:rsid w:val="003F56B6"/>
    <w:rsid w:val="00420CDC"/>
    <w:rsid w:val="00426364"/>
    <w:rsid w:val="00427D10"/>
    <w:rsid w:val="0047059C"/>
    <w:rsid w:val="004801D6"/>
    <w:rsid w:val="00481657"/>
    <w:rsid w:val="004949C6"/>
    <w:rsid w:val="004B5AC1"/>
    <w:rsid w:val="004E432F"/>
    <w:rsid w:val="005040B4"/>
    <w:rsid w:val="005049F5"/>
    <w:rsid w:val="00505757"/>
    <w:rsid w:val="00507E40"/>
    <w:rsid w:val="00520432"/>
    <w:rsid w:val="00527504"/>
    <w:rsid w:val="00530765"/>
    <w:rsid w:val="005361BB"/>
    <w:rsid w:val="00540A73"/>
    <w:rsid w:val="0055274A"/>
    <w:rsid w:val="005602C7"/>
    <w:rsid w:val="00562146"/>
    <w:rsid w:val="00570ABE"/>
    <w:rsid w:val="005A4DDD"/>
    <w:rsid w:val="005D4F46"/>
    <w:rsid w:val="00601643"/>
    <w:rsid w:val="006254F4"/>
    <w:rsid w:val="00665F7E"/>
    <w:rsid w:val="00696C54"/>
    <w:rsid w:val="006A1C8E"/>
    <w:rsid w:val="006A560C"/>
    <w:rsid w:val="006B0374"/>
    <w:rsid w:val="006B60F6"/>
    <w:rsid w:val="006C01FF"/>
    <w:rsid w:val="006D0F07"/>
    <w:rsid w:val="006D46C2"/>
    <w:rsid w:val="006E1353"/>
    <w:rsid w:val="00702D7F"/>
    <w:rsid w:val="00732ACF"/>
    <w:rsid w:val="007420EE"/>
    <w:rsid w:val="007433AD"/>
    <w:rsid w:val="00751A83"/>
    <w:rsid w:val="00771F52"/>
    <w:rsid w:val="007819A1"/>
    <w:rsid w:val="00785C97"/>
    <w:rsid w:val="00793A5C"/>
    <w:rsid w:val="00793B1A"/>
    <w:rsid w:val="007A1757"/>
    <w:rsid w:val="007A3901"/>
    <w:rsid w:val="007B31E9"/>
    <w:rsid w:val="007B69A1"/>
    <w:rsid w:val="007E1A1E"/>
    <w:rsid w:val="00817418"/>
    <w:rsid w:val="00824D82"/>
    <w:rsid w:val="00837090"/>
    <w:rsid w:val="00865F86"/>
    <w:rsid w:val="008665DF"/>
    <w:rsid w:val="00871C8B"/>
    <w:rsid w:val="00887D00"/>
    <w:rsid w:val="008917EB"/>
    <w:rsid w:val="008970EF"/>
    <w:rsid w:val="008B4BCD"/>
    <w:rsid w:val="008C4FB0"/>
    <w:rsid w:val="008C568A"/>
    <w:rsid w:val="008E0834"/>
    <w:rsid w:val="008F235D"/>
    <w:rsid w:val="00903D4F"/>
    <w:rsid w:val="00914042"/>
    <w:rsid w:val="00932170"/>
    <w:rsid w:val="00965939"/>
    <w:rsid w:val="0096789D"/>
    <w:rsid w:val="009A2AAA"/>
    <w:rsid w:val="009B347D"/>
    <w:rsid w:val="009C12A5"/>
    <w:rsid w:val="009D0CAE"/>
    <w:rsid w:val="009D15AF"/>
    <w:rsid w:val="009E08BF"/>
    <w:rsid w:val="009F331D"/>
    <w:rsid w:val="00A20728"/>
    <w:rsid w:val="00A21DB3"/>
    <w:rsid w:val="00A242B9"/>
    <w:rsid w:val="00A37AFA"/>
    <w:rsid w:val="00A6362D"/>
    <w:rsid w:val="00A92932"/>
    <w:rsid w:val="00AA23EA"/>
    <w:rsid w:val="00AA250F"/>
    <w:rsid w:val="00AB791E"/>
    <w:rsid w:val="00AD4217"/>
    <w:rsid w:val="00B0022A"/>
    <w:rsid w:val="00B022C7"/>
    <w:rsid w:val="00B02A36"/>
    <w:rsid w:val="00B17769"/>
    <w:rsid w:val="00B22228"/>
    <w:rsid w:val="00B303B4"/>
    <w:rsid w:val="00B30414"/>
    <w:rsid w:val="00B32EC6"/>
    <w:rsid w:val="00B617DF"/>
    <w:rsid w:val="00B70F5A"/>
    <w:rsid w:val="00B730FA"/>
    <w:rsid w:val="00B921C9"/>
    <w:rsid w:val="00B955AB"/>
    <w:rsid w:val="00B95C9C"/>
    <w:rsid w:val="00B9640E"/>
    <w:rsid w:val="00BA2145"/>
    <w:rsid w:val="00BC0EA6"/>
    <w:rsid w:val="00BC5CD8"/>
    <w:rsid w:val="00BE0108"/>
    <w:rsid w:val="00BE3874"/>
    <w:rsid w:val="00BE46C2"/>
    <w:rsid w:val="00BF6A04"/>
    <w:rsid w:val="00BF77A1"/>
    <w:rsid w:val="00C0031F"/>
    <w:rsid w:val="00C0165E"/>
    <w:rsid w:val="00C11C26"/>
    <w:rsid w:val="00C53D34"/>
    <w:rsid w:val="00C61391"/>
    <w:rsid w:val="00C75D5C"/>
    <w:rsid w:val="00C765A5"/>
    <w:rsid w:val="00C767BD"/>
    <w:rsid w:val="00C95E60"/>
    <w:rsid w:val="00CA56D1"/>
    <w:rsid w:val="00CB7E06"/>
    <w:rsid w:val="00CC0D80"/>
    <w:rsid w:val="00CC394C"/>
    <w:rsid w:val="00CC6DB7"/>
    <w:rsid w:val="00CF70DD"/>
    <w:rsid w:val="00D111B5"/>
    <w:rsid w:val="00D264D9"/>
    <w:rsid w:val="00D36B38"/>
    <w:rsid w:val="00D6438C"/>
    <w:rsid w:val="00D847D5"/>
    <w:rsid w:val="00D854ED"/>
    <w:rsid w:val="00D87438"/>
    <w:rsid w:val="00D92C96"/>
    <w:rsid w:val="00DA34FB"/>
    <w:rsid w:val="00DA58B3"/>
    <w:rsid w:val="00DB4A77"/>
    <w:rsid w:val="00DE692A"/>
    <w:rsid w:val="00DF37E0"/>
    <w:rsid w:val="00E14E7B"/>
    <w:rsid w:val="00E32C0A"/>
    <w:rsid w:val="00E55C47"/>
    <w:rsid w:val="00E65FBB"/>
    <w:rsid w:val="00E8225E"/>
    <w:rsid w:val="00E851C2"/>
    <w:rsid w:val="00E92314"/>
    <w:rsid w:val="00EA548A"/>
    <w:rsid w:val="00EC2DFC"/>
    <w:rsid w:val="00EC3A8C"/>
    <w:rsid w:val="00EE2A53"/>
    <w:rsid w:val="00EE55E7"/>
    <w:rsid w:val="00EE5979"/>
    <w:rsid w:val="00EE6674"/>
    <w:rsid w:val="00EF41D1"/>
    <w:rsid w:val="00F03FA4"/>
    <w:rsid w:val="00F11F30"/>
    <w:rsid w:val="00F20456"/>
    <w:rsid w:val="00F46650"/>
    <w:rsid w:val="00F60F2D"/>
    <w:rsid w:val="00F6429B"/>
    <w:rsid w:val="00F67747"/>
    <w:rsid w:val="00F84153"/>
    <w:rsid w:val="00F85D67"/>
    <w:rsid w:val="00F87926"/>
    <w:rsid w:val="00F92FC2"/>
    <w:rsid w:val="00FB1BD4"/>
    <w:rsid w:val="00FC005F"/>
    <w:rsid w:val="00FC04D3"/>
    <w:rsid w:val="00FE0DD9"/>
    <w:rsid w:val="00FE4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645D0"/>
  <w15:chartTrackingRefBased/>
  <w15:docId w15:val="{17D8CCFA-F680-403A-8890-6CC6FCBB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17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0C79"/>
    <w:rPr>
      <w:color w:val="0563C1" w:themeColor="hyperlink"/>
      <w:u w:val="single"/>
    </w:rPr>
  </w:style>
  <w:style w:type="paragraph" w:styleId="FootnoteText">
    <w:name w:val="footnote text"/>
    <w:basedOn w:val="Normal"/>
    <w:link w:val="FootnoteTextChar"/>
    <w:uiPriority w:val="99"/>
    <w:semiHidden/>
    <w:unhideWhenUsed/>
    <w:rsid w:val="00CB7E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7E06"/>
    <w:rPr>
      <w:sz w:val="20"/>
      <w:szCs w:val="20"/>
    </w:rPr>
  </w:style>
  <w:style w:type="character" w:styleId="FootnoteReference">
    <w:name w:val="footnote reference"/>
    <w:basedOn w:val="DefaultParagraphFont"/>
    <w:uiPriority w:val="99"/>
    <w:semiHidden/>
    <w:unhideWhenUsed/>
    <w:rsid w:val="00CB7E06"/>
    <w:rPr>
      <w:vertAlign w:val="superscript"/>
    </w:rPr>
  </w:style>
  <w:style w:type="character" w:styleId="CommentReference">
    <w:name w:val="annotation reference"/>
    <w:basedOn w:val="DefaultParagraphFont"/>
    <w:uiPriority w:val="99"/>
    <w:semiHidden/>
    <w:unhideWhenUsed/>
    <w:rsid w:val="00242675"/>
    <w:rPr>
      <w:sz w:val="16"/>
      <w:szCs w:val="16"/>
    </w:rPr>
  </w:style>
  <w:style w:type="paragraph" w:styleId="CommentText">
    <w:name w:val="annotation text"/>
    <w:basedOn w:val="Normal"/>
    <w:link w:val="CommentTextChar"/>
    <w:uiPriority w:val="99"/>
    <w:unhideWhenUsed/>
    <w:rsid w:val="00242675"/>
    <w:pPr>
      <w:spacing w:line="240" w:lineRule="auto"/>
    </w:pPr>
    <w:rPr>
      <w:sz w:val="20"/>
      <w:szCs w:val="20"/>
    </w:rPr>
  </w:style>
  <w:style w:type="character" w:customStyle="1" w:styleId="CommentTextChar">
    <w:name w:val="Comment Text Char"/>
    <w:basedOn w:val="DefaultParagraphFont"/>
    <w:link w:val="CommentText"/>
    <w:uiPriority w:val="99"/>
    <w:rsid w:val="00242675"/>
    <w:rPr>
      <w:sz w:val="20"/>
      <w:szCs w:val="20"/>
    </w:rPr>
  </w:style>
  <w:style w:type="paragraph" w:styleId="CommentSubject">
    <w:name w:val="annotation subject"/>
    <w:basedOn w:val="CommentText"/>
    <w:next w:val="CommentText"/>
    <w:link w:val="CommentSubjectChar"/>
    <w:uiPriority w:val="99"/>
    <w:semiHidden/>
    <w:unhideWhenUsed/>
    <w:rsid w:val="00242675"/>
    <w:rPr>
      <w:b/>
      <w:bCs/>
    </w:rPr>
  </w:style>
  <w:style w:type="character" w:customStyle="1" w:styleId="CommentSubjectChar">
    <w:name w:val="Comment Subject Char"/>
    <w:basedOn w:val="CommentTextChar"/>
    <w:link w:val="CommentSubject"/>
    <w:uiPriority w:val="99"/>
    <w:semiHidden/>
    <w:rsid w:val="00242675"/>
    <w:rPr>
      <w:b/>
      <w:bCs/>
      <w:sz w:val="20"/>
      <w:szCs w:val="20"/>
    </w:rPr>
  </w:style>
  <w:style w:type="paragraph" w:styleId="BalloonText">
    <w:name w:val="Balloon Text"/>
    <w:basedOn w:val="Normal"/>
    <w:link w:val="BalloonTextChar"/>
    <w:uiPriority w:val="99"/>
    <w:semiHidden/>
    <w:unhideWhenUsed/>
    <w:rsid w:val="00242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675"/>
    <w:rPr>
      <w:rFonts w:ascii="Segoe UI" w:hAnsi="Segoe UI" w:cs="Segoe UI"/>
      <w:sz w:val="18"/>
      <w:szCs w:val="18"/>
    </w:rPr>
  </w:style>
  <w:style w:type="character" w:styleId="FollowedHyperlink">
    <w:name w:val="FollowedHyperlink"/>
    <w:basedOn w:val="DefaultParagraphFont"/>
    <w:uiPriority w:val="99"/>
    <w:semiHidden/>
    <w:unhideWhenUsed/>
    <w:rsid w:val="00771F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61264">
      <w:bodyDiv w:val="1"/>
      <w:marLeft w:val="0"/>
      <w:marRight w:val="0"/>
      <w:marTop w:val="0"/>
      <w:marBottom w:val="0"/>
      <w:divBdr>
        <w:top w:val="none" w:sz="0" w:space="0" w:color="auto"/>
        <w:left w:val="none" w:sz="0" w:space="0" w:color="auto"/>
        <w:bottom w:val="none" w:sz="0" w:space="0" w:color="auto"/>
        <w:right w:val="none" w:sz="0" w:space="0" w:color="auto"/>
      </w:divBdr>
    </w:div>
    <w:div w:id="202912940">
      <w:bodyDiv w:val="1"/>
      <w:marLeft w:val="0"/>
      <w:marRight w:val="0"/>
      <w:marTop w:val="0"/>
      <w:marBottom w:val="0"/>
      <w:divBdr>
        <w:top w:val="none" w:sz="0" w:space="0" w:color="auto"/>
        <w:left w:val="none" w:sz="0" w:space="0" w:color="auto"/>
        <w:bottom w:val="none" w:sz="0" w:space="0" w:color="auto"/>
        <w:right w:val="none" w:sz="0" w:space="0" w:color="auto"/>
      </w:divBdr>
    </w:div>
    <w:div w:id="470249684">
      <w:bodyDiv w:val="1"/>
      <w:marLeft w:val="0"/>
      <w:marRight w:val="0"/>
      <w:marTop w:val="0"/>
      <w:marBottom w:val="0"/>
      <w:divBdr>
        <w:top w:val="none" w:sz="0" w:space="0" w:color="auto"/>
        <w:left w:val="none" w:sz="0" w:space="0" w:color="auto"/>
        <w:bottom w:val="none" w:sz="0" w:space="0" w:color="auto"/>
        <w:right w:val="none" w:sz="0" w:space="0" w:color="auto"/>
      </w:divBdr>
    </w:div>
    <w:div w:id="619066272">
      <w:bodyDiv w:val="1"/>
      <w:marLeft w:val="0"/>
      <w:marRight w:val="0"/>
      <w:marTop w:val="0"/>
      <w:marBottom w:val="0"/>
      <w:divBdr>
        <w:top w:val="none" w:sz="0" w:space="0" w:color="auto"/>
        <w:left w:val="none" w:sz="0" w:space="0" w:color="auto"/>
        <w:bottom w:val="none" w:sz="0" w:space="0" w:color="auto"/>
        <w:right w:val="none" w:sz="0" w:space="0" w:color="auto"/>
      </w:divBdr>
    </w:div>
    <w:div w:id="746151673">
      <w:bodyDiv w:val="1"/>
      <w:marLeft w:val="0"/>
      <w:marRight w:val="0"/>
      <w:marTop w:val="0"/>
      <w:marBottom w:val="0"/>
      <w:divBdr>
        <w:top w:val="none" w:sz="0" w:space="0" w:color="auto"/>
        <w:left w:val="none" w:sz="0" w:space="0" w:color="auto"/>
        <w:bottom w:val="none" w:sz="0" w:space="0" w:color="auto"/>
        <w:right w:val="none" w:sz="0" w:space="0" w:color="auto"/>
      </w:divBdr>
    </w:div>
    <w:div w:id="821460463">
      <w:bodyDiv w:val="1"/>
      <w:marLeft w:val="0"/>
      <w:marRight w:val="0"/>
      <w:marTop w:val="0"/>
      <w:marBottom w:val="0"/>
      <w:divBdr>
        <w:top w:val="none" w:sz="0" w:space="0" w:color="auto"/>
        <w:left w:val="none" w:sz="0" w:space="0" w:color="auto"/>
        <w:bottom w:val="none" w:sz="0" w:space="0" w:color="auto"/>
        <w:right w:val="none" w:sz="0" w:space="0" w:color="auto"/>
      </w:divBdr>
    </w:div>
    <w:div w:id="905189843">
      <w:bodyDiv w:val="1"/>
      <w:marLeft w:val="0"/>
      <w:marRight w:val="0"/>
      <w:marTop w:val="0"/>
      <w:marBottom w:val="0"/>
      <w:divBdr>
        <w:top w:val="none" w:sz="0" w:space="0" w:color="auto"/>
        <w:left w:val="none" w:sz="0" w:space="0" w:color="auto"/>
        <w:bottom w:val="none" w:sz="0" w:space="0" w:color="auto"/>
        <w:right w:val="none" w:sz="0" w:space="0" w:color="auto"/>
      </w:divBdr>
    </w:div>
    <w:div w:id="1056276106">
      <w:bodyDiv w:val="1"/>
      <w:marLeft w:val="0"/>
      <w:marRight w:val="0"/>
      <w:marTop w:val="0"/>
      <w:marBottom w:val="0"/>
      <w:divBdr>
        <w:top w:val="none" w:sz="0" w:space="0" w:color="auto"/>
        <w:left w:val="none" w:sz="0" w:space="0" w:color="auto"/>
        <w:bottom w:val="none" w:sz="0" w:space="0" w:color="auto"/>
        <w:right w:val="none" w:sz="0" w:space="0" w:color="auto"/>
      </w:divBdr>
    </w:div>
    <w:div w:id="1199703755">
      <w:bodyDiv w:val="1"/>
      <w:marLeft w:val="0"/>
      <w:marRight w:val="0"/>
      <w:marTop w:val="0"/>
      <w:marBottom w:val="0"/>
      <w:divBdr>
        <w:top w:val="none" w:sz="0" w:space="0" w:color="auto"/>
        <w:left w:val="none" w:sz="0" w:space="0" w:color="auto"/>
        <w:bottom w:val="none" w:sz="0" w:space="0" w:color="auto"/>
        <w:right w:val="none" w:sz="0" w:space="0" w:color="auto"/>
      </w:divBdr>
    </w:div>
    <w:div w:id="1595481537">
      <w:bodyDiv w:val="1"/>
      <w:marLeft w:val="0"/>
      <w:marRight w:val="0"/>
      <w:marTop w:val="0"/>
      <w:marBottom w:val="0"/>
      <w:divBdr>
        <w:top w:val="none" w:sz="0" w:space="0" w:color="auto"/>
        <w:left w:val="none" w:sz="0" w:space="0" w:color="auto"/>
        <w:bottom w:val="none" w:sz="0" w:space="0" w:color="auto"/>
        <w:right w:val="none" w:sz="0" w:space="0" w:color="auto"/>
      </w:divBdr>
    </w:div>
    <w:div w:id="1741321306">
      <w:bodyDiv w:val="1"/>
      <w:marLeft w:val="0"/>
      <w:marRight w:val="0"/>
      <w:marTop w:val="0"/>
      <w:marBottom w:val="0"/>
      <w:divBdr>
        <w:top w:val="none" w:sz="0" w:space="0" w:color="auto"/>
        <w:left w:val="none" w:sz="0" w:space="0" w:color="auto"/>
        <w:bottom w:val="none" w:sz="0" w:space="0" w:color="auto"/>
        <w:right w:val="none" w:sz="0" w:space="0" w:color="auto"/>
      </w:divBdr>
    </w:div>
    <w:div w:id="1851798267">
      <w:bodyDiv w:val="1"/>
      <w:marLeft w:val="0"/>
      <w:marRight w:val="0"/>
      <w:marTop w:val="0"/>
      <w:marBottom w:val="0"/>
      <w:divBdr>
        <w:top w:val="none" w:sz="0" w:space="0" w:color="auto"/>
        <w:left w:val="none" w:sz="0" w:space="0" w:color="auto"/>
        <w:bottom w:val="none" w:sz="0" w:space="0" w:color="auto"/>
        <w:right w:val="none" w:sz="0" w:space="0" w:color="auto"/>
      </w:divBdr>
    </w:div>
    <w:div w:id="192363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opsportal.spp.org/Studies/Gen" TargetMode="External"/><Relationship Id="rId3" Type="http://schemas.openxmlformats.org/officeDocument/2006/relationships/hyperlink" Target="https://spp.org/Documents/63099/GI%20User%20Group%20Agenda%20&amp;%20Background%20Materials%2020200930.zip" TargetMode="External"/><Relationship Id="rId7" Type="http://schemas.openxmlformats.org/officeDocument/2006/relationships/hyperlink" Target="https://spp.org/engineering/project-tracking-ntcs/" TargetMode="External"/><Relationship Id="rId2" Type="http://schemas.openxmlformats.org/officeDocument/2006/relationships/hyperlink" Target="https://spp.org/spp-documents-filings/?id=19457" TargetMode="External"/><Relationship Id="rId1" Type="http://schemas.openxmlformats.org/officeDocument/2006/relationships/hyperlink" Target="https://spp.org/stakeholder-center/join-spp/" TargetMode="External"/><Relationship Id="rId6" Type="http://schemas.openxmlformats.org/officeDocument/2006/relationships/hyperlink" Target="https://www.spp.org/stakeholder-center/customer-relations/request-management-system/" TargetMode="External"/><Relationship Id="rId5" Type="http://schemas.openxmlformats.org/officeDocument/2006/relationships/hyperlink" Target="https://marketplace.spp.org/pages/da-lmp-by-location" TargetMode="External"/><Relationship Id="rId4" Type="http://schemas.openxmlformats.org/officeDocument/2006/relationships/hyperlink" Target="https://spp.org/spp-documents-filings/?id=2082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F67BB-67FA-4194-B82C-BAC07F0D7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4</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Southwest Power Pool</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Fung</dc:creator>
  <cp:keywords/>
  <dc:description/>
  <cp:lastModifiedBy>Betty Fung</cp:lastModifiedBy>
  <cp:revision>57</cp:revision>
  <dcterms:created xsi:type="dcterms:W3CDTF">2021-01-12T20:58:00Z</dcterms:created>
  <dcterms:modified xsi:type="dcterms:W3CDTF">2021-01-19T17:55:00Z</dcterms:modified>
</cp:coreProperties>
</file>